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B60207" w:rsidR="001E1490" w:rsidP="2E9FE28D" w:rsidRDefault="008622C2" w14:paraId="49EBCCA2" w14:textId="6CB72D9B">
      <w:pPr>
        <w:pStyle w:val="Header"/>
        <w:tabs>
          <w:tab w:val="right" w:pos="9639"/>
        </w:tabs>
        <w:rPr>
          <w:noProof w:val="0"/>
          <w:sz w:val="24"/>
          <w:szCs w:val="24"/>
          <w:highlight w:val="yellow"/>
        </w:rPr>
      </w:pPr>
      <w:r w:rsidRPr="2E9FE28D" w:rsidR="008622C2">
        <w:rPr>
          <w:noProof w:val="0"/>
          <w:sz w:val="24"/>
          <w:szCs w:val="24"/>
        </w:rPr>
        <w:t xml:space="preserve">3GPP TSG-RAN WG2 Meeting </w:t>
      </w:r>
      <w:r w:rsidRPr="2E9FE28D" w:rsidR="008622C2">
        <w:rPr>
          <w:noProof w:val="0"/>
          <w:sz w:val="24"/>
          <w:szCs w:val="24"/>
        </w:rPr>
        <w:t>#11</w:t>
      </w:r>
      <w:r w:rsidRPr="2E9FE28D" w:rsidR="00B60207">
        <w:rPr>
          <w:noProof w:val="0"/>
          <w:sz w:val="24"/>
          <w:szCs w:val="24"/>
        </w:rPr>
        <w:t>5</w:t>
      </w:r>
      <w:r w:rsidRPr="2E9FE28D" w:rsidR="008622C2">
        <w:rPr>
          <w:noProof w:val="0"/>
          <w:sz w:val="24"/>
          <w:szCs w:val="24"/>
        </w:rPr>
        <w:t xml:space="preserve"> Electronic</w:t>
      </w:r>
      <w:r>
        <w:tab/>
      </w:r>
      <w:r w:rsidRPr="2E9FE28D" w:rsidR="008622C2">
        <w:rPr>
          <w:noProof w:val="0"/>
          <w:sz w:val="24"/>
          <w:szCs w:val="24"/>
        </w:rPr>
        <w:t>R</w:t>
      </w:r>
      <w:r w:rsidRPr="2E9FE28D" w:rsidR="008622C2">
        <w:rPr>
          <w:noProof w:val="0"/>
          <w:sz w:val="24"/>
          <w:szCs w:val="24"/>
        </w:rPr>
        <w:t>2</w:t>
      </w:r>
      <w:r w:rsidRPr="2E9FE28D" w:rsidR="008622C2">
        <w:rPr>
          <w:noProof w:val="0"/>
          <w:sz w:val="24"/>
          <w:szCs w:val="24"/>
        </w:rPr>
        <w:t>-</w:t>
      </w:r>
      <w:r w:rsidRPr="2E9FE28D" w:rsidR="008622C2">
        <w:rPr>
          <w:noProof w:val="0"/>
          <w:sz w:val="24"/>
          <w:szCs w:val="24"/>
        </w:rPr>
        <w:t>21</w:t>
      </w:r>
      <w:r w:rsidRPr="2E9FE28D" w:rsidR="479E0DF4">
        <w:rPr>
          <w:noProof w:val="0"/>
          <w:sz w:val="24"/>
          <w:szCs w:val="24"/>
        </w:rPr>
        <w:t>07510</w:t>
      </w:r>
      <w:r>
        <w:tab/>
      </w:r>
      <w:r w:rsidRPr="2E9FE28D" w:rsidR="001E1490">
        <w:rPr>
          <w:noProof w:val="0"/>
          <w:sz w:val="24"/>
          <w:szCs w:val="24"/>
        </w:rPr>
        <w:t xml:space="preserve">Updated version of </w:t>
      </w:r>
      <w:r w:rsidRPr="2E9FE28D" w:rsidR="001E1490">
        <w:rPr>
          <w:noProof w:val="0"/>
          <w:sz w:val="24"/>
          <w:szCs w:val="24"/>
        </w:rPr>
        <w:t>R</w:t>
      </w:r>
      <w:r w:rsidRPr="2E9FE28D" w:rsidR="001E1490">
        <w:rPr>
          <w:noProof w:val="0"/>
          <w:sz w:val="24"/>
          <w:szCs w:val="24"/>
        </w:rPr>
        <w:t>2</w:t>
      </w:r>
      <w:r w:rsidRPr="2E9FE28D" w:rsidR="00B60207">
        <w:rPr>
          <w:noProof w:val="0"/>
          <w:sz w:val="24"/>
          <w:szCs w:val="24"/>
        </w:rPr>
        <w:t>-2105476</w:t>
      </w:r>
    </w:p>
    <w:p w:rsidRPr="00B60207" w:rsidR="008622C2" w:rsidP="008622C2" w:rsidRDefault="008622C2" w14:paraId="20970F3F" w14:textId="7616351F">
      <w:pPr>
        <w:pStyle w:val="Header"/>
        <w:tabs>
          <w:tab w:val="right" w:pos="9639"/>
        </w:tabs>
        <w:rPr>
          <w:bCs/>
          <w:noProof w:val="0"/>
          <w:sz w:val="24"/>
          <w:szCs w:val="24"/>
          <w:highlight w:val="yellow"/>
        </w:rPr>
      </w:pPr>
    </w:p>
    <w:p w:rsidRPr="00465587" w:rsidR="008622C2" w:rsidP="30ADC4C9" w:rsidRDefault="008622C2" w14:paraId="5E30B99A" w14:textId="30F8E033">
      <w:pPr>
        <w:pStyle w:val="Header"/>
        <w:tabs>
          <w:tab w:val="right" w:pos="9639"/>
        </w:tabs>
        <w:rPr>
          <w:rFonts w:eastAsia="SimSun"/>
          <w:sz w:val="24"/>
          <w:szCs w:val="24"/>
          <w:lang w:eastAsia="zh-CN"/>
        </w:rPr>
      </w:pPr>
      <w:r w:rsidRPr="6E8E653C" w:rsidR="008622C2">
        <w:rPr>
          <w:rFonts w:eastAsia="SimSun"/>
          <w:sz w:val="24"/>
          <w:szCs w:val="24"/>
          <w:lang w:eastAsia="zh-CN"/>
        </w:rPr>
        <w:t>Elbonia</w:t>
      </w:r>
      <w:r w:rsidRPr="6E8E653C" w:rsidR="008622C2">
        <w:rPr>
          <w:rFonts w:eastAsia="SimSun"/>
          <w:sz w:val="24"/>
          <w:szCs w:val="24"/>
          <w:lang w:eastAsia="zh-CN"/>
        </w:rPr>
        <w:t xml:space="preserve">, </w:t>
      </w:r>
      <w:r w:rsidRPr="6E8E653C" w:rsidR="008622C2">
        <w:rPr>
          <w:rFonts w:eastAsia="SimSun"/>
          <w:sz w:val="24"/>
          <w:szCs w:val="24"/>
          <w:lang w:eastAsia="zh-CN"/>
        </w:rPr>
        <w:t xml:space="preserve"> </w:t>
      </w:r>
      <w:r w:rsidRPr="6E8E653C" w:rsidR="00B60207">
        <w:rPr>
          <w:rFonts w:eastAsia="SimSun"/>
          <w:sz w:val="24"/>
          <w:szCs w:val="24"/>
          <w:lang w:eastAsia="zh-CN"/>
        </w:rPr>
        <w:t>9-2</w:t>
      </w:r>
      <w:r w:rsidRPr="6E8E653C" w:rsidR="5B2E29F0">
        <w:rPr>
          <w:rFonts w:eastAsia="SimSun"/>
          <w:sz w:val="24"/>
          <w:szCs w:val="24"/>
          <w:lang w:eastAsia="zh-CN"/>
        </w:rPr>
        <w:t>7</w:t>
      </w:r>
      <w:r w:rsidRPr="6E8E653C" w:rsidR="00B60207">
        <w:rPr>
          <w:rFonts w:eastAsia="SimSun"/>
          <w:sz w:val="24"/>
          <w:szCs w:val="24"/>
          <w:lang w:eastAsia="zh-CN"/>
        </w:rPr>
        <w:t xml:space="preserve"> </w:t>
      </w:r>
      <w:r w:rsidRPr="6E8E653C" w:rsidR="237DA460">
        <w:rPr>
          <w:rFonts w:eastAsia="SimSun"/>
          <w:sz w:val="24"/>
          <w:szCs w:val="24"/>
          <w:lang w:eastAsia="zh-CN"/>
        </w:rPr>
        <w:t>August</w:t>
      </w:r>
      <w:r w:rsidRPr="6E8E653C" w:rsidR="00B60207">
        <w:rPr>
          <w:rFonts w:eastAsia="SimSun"/>
          <w:sz w:val="24"/>
          <w:szCs w:val="24"/>
          <w:lang w:eastAsia="zh-CN"/>
        </w:rPr>
        <w:t xml:space="preserve"> </w:t>
      </w:r>
      <w:r w:rsidRPr="6E8E653C" w:rsidR="00B60207">
        <w:rPr>
          <w:rFonts w:eastAsia="SimSun"/>
          <w:sz w:val="24"/>
          <w:szCs w:val="24"/>
          <w:lang w:eastAsia="zh-CN"/>
        </w:rPr>
        <w:t>2021</w:t>
      </w:r>
      <w:r>
        <w:tab/>
      </w:r>
    </w:p>
    <w:p w:rsidRPr="00B266B0" w:rsidR="008622C2" w:rsidP="008622C2" w:rsidRDefault="008622C2" w14:paraId="0E4D415C"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2E9FE28D" w:rsidRDefault="00A209D6" w14:paraId="74AEDB1B" w14:textId="59397766">
      <w:pPr>
        <w:pStyle w:val="CRCoverPage"/>
        <w:tabs>
          <w:tab w:val="left" w:pos="1985"/>
        </w:tabs>
        <w:rPr>
          <w:rFonts w:cs="Arial"/>
          <w:b w:val="1"/>
          <w:bCs w:val="1"/>
          <w:sz w:val="24"/>
          <w:szCs w:val="24"/>
          <w:lang w:eastAsia="ja-JP"/>
        </w:rPr>
      </w:pPr>
      <w:r w:rsidRPr="2E9FE28D" w:rsidR="00A209D6">
        <w:rPr>
          <w:rFonts w:cs="Arial"/>
          <w:b w:val="1"/>
          <w:bCs w:val="1"/>
          <w:sz w:val="24"/>
          <w:szCs w:val="24"/>
        </w:rPr>
        <w:t>Agenda item:</w:t>
      </w:r>
      <w:r>
        <w:tab/>
      </w:r>
      <w:r w:rsidRPr="2E9FE28D" w:rsidR="463D84CB">
        <w:rPr>
          <w:rFonts w:cs="Arial"/>
          <w:b w:val="1"/>
          <w:bCs w:val="1"/>
          <w:sz w:val="24"/>
          <w:szCs w:val="24"/>
        </w:rPr>
        <w:t>8.13.2.1</w:t>
      </w:r>
    </w:p>
    <w:p w:rsidRPr="00B266B0" w:rsidR="00A209D6" w:rsidP="00A209D6" w:rsidRDefault="00A209D6" w14:paraId="73188B46" w14:textId="7DC78C85">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A209D6" w:rsidP="00A209D6" w:rsidRDefault="00A209D6" w14:paraId="0FA3EF00" w14:textId="7978FE9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7E01">
        <w:rPr>
          <w:rFonts w:ascii="Arial" w:hAnsi="Arial" w:cs="Arial"/>
          <w:b/>
          <w:bCs/>
          <w:sz w:val="24"/>
        </w:rPr>
        <w:t xml:space="preserve">Further clarifications on MRO </w:t>
      </w:r>
    </w:p>
    <w:p w:rsidRPr="00B266B0" w:rsidR="00A209D6" w:rsidP="00A209D6" w:rsidRDefault="00A209D6" w14:paraId="1F147C23" w14:textId="2DEB31E9">
      <w:pPr>
        <w:ind w:left="1985" w:hanging="1985"/>
        <w:rPr>
          <w:rFonts w:ascii="Arial" w:hAnsi="Arial" w:cs="Arial"/>
          <w:b/>
          <w:sz w:val="24"/>
          <w:szCs w:val="24"/>
        </w:rPr>
      </w:pPr>
      <w:r w:rsidRPr="6BC26A1C">
        <w:rPr>
          <w:rFonts w:ascii="Arial" w:hAnsi="Arial" w:cs="Arial"/>
          <w:b/>
          <w:sz w:val="24"/>
          <w:szCs w:val="24"/>
        </w:rPr>
        <w:t>WID/SID</w:t>
      </w:r>
      <w:r w:rsidR="00C14909">
        <w:rPr>
          <w:rFonts w:ascii="Arial" w:hAnsi="Arial" w:cs="Arial"/>
          <w:b/>
          <w:sz w:val="24"/>
          <w:szCs w:val="24"/>
        </w:rPr>
        <w:t>:</w:t>
      </w:r>
      <w:r w:rsidR="00C14909">
        <w:rPr>
          <w:rFonts w:ascii="Arial" w:hAnsi="Arial" w:eastAsia="Arial" w:cs="Arial"/>
          <w:b/>
          <w:sz w:val="24"/>
          <w:szCs w:val="24"/>
        </w:rPr>
        <w:t xml:space="preserve">              </w:t>
      </w:r>
      <w:r w:rsidRPr="6BC26A1C" w:rsidR="6F7F0DA9">
        <w:rPr>
          <w:rFonts w:ascii="Arial" w:hAnsi="Arial" w:eastAsia="Arial" w:cs="Arial"/>
          <w:b/>
          <w:bCs/>
          <w:sz w:val="24"/>
          <w:szCs w:val="24"/>
        </w:rPr>
        <w:t>NR_ENDC_SON_MDT_enh-Core</w:t>
      </w:r>
      <w:r w:rsidRPr="6BC26A1C" w:rsidR="6A2699BB">
        <w:rPr>
          <w:rFonts w:ascii="Arial" w:hAnsi="Arial" w:cs="Arial"/>
          <w:b/>
          <w:bCs/>
          <w:sz w:val="24"/>
          <w:szCs w:val="24"/>
        </w:rPr>
        <w:t xml:space="preserve"> </w:t>
      </w:r>
      <w:r w:rsidRPr="6BC26A1C">
        <w:rPr>
          <w:rFonts w:ascii="Arial" w:hAnsi="Arial" w:cs="Arial"/>
          <w:b/>
          <w:sz w:val="24"/>
          <w:szCs w:val="24"/>
        </w:rPr>
        <w:t xml:space="preserve">- Release </w:t>
      </w:r>
      <w:r w:rsidRPr="6BC26A1C" w:rsidR="58419741">
        <w:rPr>
          <w:rFonts w:ascii="Arial" w:hAnsi="Arial" w:cs="Arial"/>
          <w:b/>
          <w:bCs/>
          <w:sz w:val="24"/>
          <w:szCs w:val="24"/>
        </w:rPr>
        <w:t>17</w:t>
      </w:r>
    </w:p>
    <w:p w:rsidRPr="00B266B0" w:rsidR="00A209D6" w:rsidP="00A209D6" w:rsidRDefault="00A209D6"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7F2E08" w:rsidP="00A209D6" w:rsidRDefault="00D07E01" w14:paraId="31EC6E66" w14:textId="6A5EE3CB">
      <w:r>
        <w:t>Following the agreements in RAN2#113e</w:t>
      </w:r>
      <w:r w:rsidR="001E1490">
        <w:t>bis</w:t>
      </w:r>
      <w:r>
        <w:t xml:space="preserve"> there are several open issues in connection with MRO which we would like to address in this contribution. More specifically, these open issues deal wit</w:t>
      </w:r>
      <w:r w:rsidR="001E1490">
        <w:t>h</w:t>
      </w:r>
      <w:r>
        <w:t xml:space="preserve"> RLF and successful HO report</w:t>
      </w:r>
      <w:r w:rsidR="004A3011">
        <w:t>ing</w:t>
      </w:r>
      <w:r>
        <w:t xml:space="preserve"> for CHO and DAPS</w:t>
      </w:r>
      <w:r w:rsidR="004A3011">
        <w:t xml:space="preserve"> and further wording clarifications.</w:t>
      </w:r>
    </w:p>
    <w:p w:rsidRPr="006E13D1" w:rsidR="00A209D6" w:rsidP="00B7538C" w:rsidRDefault="00A209D6" w14:paraId="4F547731" w14:textId="11A592A0">
      <w:pPr>
        <w:pStyle w:val="Heading1"/>
      </w:pPr>
      <w:r w:rsidRPr="006E13D1">
        <w:t>2</w:t>
      </w:r>
      <w:r w:rsidRPr="006E13D1">
        <w:tab/>
      </w:r>
      <w:r w:rsidR="00CF3816">
        <w:t>Discussions</w:t>
      </w:r>
    </w:p>
    <w:p w:rsidR="00D07E01" w:rsidP="008549EC" w:rsidRDefault="008549EC" w14:paraId="787ADE91" w14:textId="1067DA93">
      <w:pPr>
        <w:pStyle w:val="Heading2"/>
      </w:pPr>
      <w:r>
        <w:t>2.</w:t>
      </w:r>
      <w:r w:rsidR="001E1490">
        <w:t>1</w:t>
      </w:r>
      <w:r>
        <w:t xml:space="preserve"> </w:t>
      </w:r>
      <w:r w:rsidR="001E1490">
        <w:t>S</w:t>
      </w:r>
      <w:r w:rsidR="00D07E01">
        <w:t xml:space="preserve">uccessful HO report </w:t>
      </w:r>
      <w:r w:rsidR="00352886">
        <w:t>triggering</w:t>
      </w:r>
    </w:p>
    <w:p w:rsidRPr="00B60207" w:rsidR="001E1490" w:rsidP="005A61DB" w:rsidRDefault="001E1490" w14:paraId="1C921B45" w14:textId="2C643E4F">
      <w:r w:rsidRPr="00B60207">
        <w:t>I</w:t>
      </w:r>
      <w:r w:rsidRPr="00B60207" w:rsidR="00A516A3">
        <w:t xml:space="preserve">n order to make sure failures are correctly captured but also to minimize the load on the air interface, a triggering condition can be used. </w:t>
      </w:r>
      <w:r w:rsidRPr="00B60207">
        <w:t xml:space="preserve">As such, it was decided in RAN2#113bis e that : </w:t>
      </w:r>
    </w:p>
    <w:p w:rsidRPr="00B60207" w:rsidR="001E1490" w:rsidP="001E1490" w:rsidRDefault="001E1490" w14:paraId="1B7BD63C" w14:textId="77777777">
      <w:pPr>
        <w:rPr>
          <w:lang w:val="en-US"/>
        </w:rPr>
      </w:pPr>
      <w:r w:rsidRPr="00B60207">
        <w:rPr>
          <w:lang w:val="en-US"/>
        </w:rPr>
        <w:t>At least the following triggering conditions are applied for generating an HO Success Report in the case that the HO succeeds:</w:t>
      </w:r>
    </w:p>
    <w:p w:rsidRPr="00B60207" w:rsidR="001E1490" w:rsidP="001E1490" w:rsidRDefault="001E1490" w14:paraId="78D68A65" w14:textId="77777777">
      <w:pPr>
        <w:rPr>
          <w:i/>
          <w:iCs/>
          <w:lang w:val="en-US"/>
        </w:rPr>
      </w:pPr>
      <w:r w:rsidRPr="00B60207">
        <w:rPr>
          <w:lang w:val="en-US"/>
        </w:rPr>
        <w:t>a.</w:t>
      </w:r>
      <w:r w:rsidRPr="00B60207">
        <w:rPr>
          <w:lang w:val="en-US"/>
        </w:rPr>
        <w:tab/>
      </w:r>
      <w:r w:rsidRPr="00B60207">
        <w:rPr>
          <w:i/>
          <w:iCs/>
          <w:lang w:val="en-US"/>
        </w:rPr>
        <w:t>The UE logs the HO success report if, while doing HO, T310 value exceeds a threshold</w:t>
      </w:r>
    </w:p>
    <w:p w:rsidRPr="00B60207" w:rsidR="001E1490" w:rsidP="001E1490" w:rsidRDefault="001E1490" w14:paraId="59883349" w14:textId="77777777">
      <w:pPr>
        <w:rPr>
          <w:i/>
          <w:iCs/>
          <w:lang w:val="en-US"/>
        </w:rPr>
      </w:pPr>
      <w:r w:rsidRPr="00B60207">
        <w:rPr>
          <w:i/>
          <w:iCs/>
          <w:lang w:val="en-US"/>
        </w:rPr>
        <w:t>b.</w:t>
      </w:r>
      <w:r w:rsidRPr="00B60207">
        <w:rPr>
          <w:i/>
          <w:iCs/>
          <w:lang w:val="en-US"/>
        </w:rPr>
        <w:tab/>
      </w:r>
      <w:r w:rsidRPr="00B60207">
        <w:rPr>
          <w:i/>
          <w:iCs/>
          <w:lang w:val="en-US"/>
        </w:rPr>
        <w:t>The UE logs the HO success report if, while doing HO, T312 value exceeds a threshold</w:t>
      </w:r>
    </w:p>
    <w:p w:rsidRPr="00B60207" w:rsidR="001E1490" w:rsidP="001E1490" w:rsidRDefault="001E1490" w14:paraId="59245541" w14:textId="77777777">
      <w:pPr>
        <w:rPr>
          <w:i/>
          <w:iCs/>
          <w:lang w:val="en-US"/>
        </w:rPr>
      </w:pPr>
      <w:r w:rsidRPr="00B60207">
        <w:rPr>
          <w:i/>
          <w:iCs/>
          <w:lang w:val="en-US"/>
        </w:rPr>
        <w:t>c.</w:t>
      </w:r>
      <w:r w:rsidRPr="00B60207">
        <w:rPr>
          <w:i/>
          <w:iCs/>
          <w:lang w:val="en-US"/>
        </w:rPr>
        <w:tab/>
      </w:r>
      <w:r w:rsidRPr="00B60207">
        <w:rPr>
          <w:i/>
          <w:iCs/>
          <w:lang w:val="en-US"/>
        </w:rPr>
        <w:t>The UE logs the HO success report if, while doing HO, T304 exceeds a threshold</w:t>
      </w:r>
    </w:p>
    <w:p w:rsidRPr="00B60207" w:rsidR="001E1490" w:rsidP="001E1490" w:rsidRDefault="001E1490" w14:paraId="61E7815E" w14:textId="77777777">
      <w:pPr>
        <w:rPr>
          <w:i/>
          <w:iCs/>
          <w:lang w:val="en-US"/>
        </w:rPr>
      </w:pPr>
      <w:r w:rsidRPr="00B60207">
        <w:rPr>
          <w:i/>
          <w:iCs/>
          <w:lang w:val="en-US"/>
        </w:rPr>
        <w:t>d.</w:t>
      </w:r>
      <w:r w:rsidRPr="00B60207">
        <w:rPr>
          <w:i/>
          <w:iCs/>
          <w:lang w:val="en-US"/>
        </w:rPr>
        <w:tab/>
      </w:r>
      <w:r w:rsidRPr="00B60207">
        <w:rPr>
          <w:i/>
          <w:iCs/>
          <w:lang w:val="en-US"/>
        </w:rPr>
        <w:t>In case of DAPS, if the UE gets an RLF in the source while doing DAPS.</w:t>
      </w:r>
    </w:p>
    <w:p w:rsidRPr="00A06D5D" w:rsidR="001E1490" w:rsidP="005A61DB" w:rsidRDefault="00626C7C" w14:paraId="1CB71BA4" w14:textId="091EDF9A">
      <w:pPr>
        <w:rPr>
          <w:i/>
          <w:iCs/>
          <w:lang w:val="en-US"/>
        </w:rPr>
      </w:pPr>
      <w:r w:rsidRPr="00B60207">
        <w:rPr>
          <w:i/>
          <w:iCs/>
          <w:lang w:val="en-US"/>
        </w:rPr>
        <w:t>Firstly, we will like to clarify that in points a, b and c also apply to CHO not only to legacy handover.</w:t>
      </w:r>
    </w:p>
    <w:p w:rsidR="001E1490" w:rsidP="005A61DB" w:rsidRDefault="00A516A3" w14:paraId="7DE8DC3C" w14:textId="2C2CDDF7">
      <w:r>
        <w:t xml:space="preserve">Additionally, it should be avoided that the UE stores and reports information that is already available at the </w:t>
      </w:r>
      <w:r w:rsidR="00E46C32">
        <w:t>source</w:t>
      </w:r>
      <w:r>
        <w:t xml:space="preserve"> cell. </w:t>
      </w:r>
    </w:p>
    <w:p w:rsidRPr="00A516A3" w:rsidR="00E4215C" w:rsidP="005A61DB" w:rsidRDefault="00A516A3" w14:paraId="08E6570B" w14:textId="718E6742">
      <w:r>
        <w:t xml:space="preserve">This is very likely to happened when the CHO execution happens soon after receiving the CHO command. In such cases, the information the UE would log will be very similar to the one at the time of the CHO preparation and will offer little to no additional insight to the network. </w:t>
      </w:r>
      <w:r w:rsidR="00626C7C">
        <w:t xml:space="preserve">So an alternative and more comprehensive description of the triggering condition for sending the Successful HO Report would be: </w:t>
      </w:r>
      <w:r w:rsidRPr="00626C7C" w:rsidR="00626C7C">
        <w:t>if the time between receiving the RRCReconfiguration command with sync and the CHO execution exceed a certain threshold</w:t>
      </w:r>
      <w:r w:rsidR="00626C7C">
        <w:t>.</w:t>
      </w:r>
    </w:p>
    <w:p w:rsidRPr="00A516A3" w:rsidR="00E4215C" w:rsidP="00A516A3" w:rsidRDefault="00E4215C" w14:paraId="1C02B242" w14:textId="09AC4DAB">
      <w:pPr>
        <w:spacing w:after="0"/>
        <w:rPr>
          <w:b/>
          <w:bCs/>
          <w:lang w:val="en-US"/>
        </w:rPr>
      </w:pPr>
      <w:r>
        <w:rPr>
          <w:b/>
          <w:bCs/>
        </w:rPr>
        <w:t xml:space="preserve">Proposal </w:t>
      </w:r>
      <w:r w:rsidR="00B60207">
        <w:rPr>
          <w:b/>
          <w:bCs/>
        </w:rPr>
        <w:t>1</w:t>
      </w:r>
      <w:r>
        <w:rPr>
          <w:b/>
          <w:bCs/>
        </w:rPr>
        <w:t xml:space="preserve">: </w:t>
      </w:r>
      <w:r w:rsidRPr="00A516A3" w:rsidR="00A516A3">
        <w:rPr>
          <w:b/>
          <w:bCs/>
        </w:rPr>
        <w:t>The UE logs the</w:t>
      </w:r>
      <w:r w:rsidR="00A516A3">
        <w:rPr>
          <w:b/>
          <w:bCs/>
        </w:rPr>
        <w:t xml:space="preserve"> Successful</w:t>
      </w:r>
      <w:r w:rsidRPr="00A516A3" w:rsidR="00A516A3">
        <w:rPr>
          <w:b/>
          <w:bCs/>
        </w:rPr>
        <w:t xml:space="preserve"> HO report if the time between receiving the RRCReconfiguration command with sync and the CHO execution exceed a certain threshold.</w:t>
      </w:r>
    </w:p>
    <w:p w:rsidRPr="002F0ABD" w:rsidR="002F0ABD" w:rsidP="005A61DB" w:rsidRDefault="002F0ABD" w14:paraId="1B3964E7" w14:textId="77777777">
      <w:pPr>
        <w:rPr>
          <w:b/>
          <w:bCs/>
        </w:rPr>
      </w:pPr>
    </w:p>
    <w:p w:rsidR="002F0ABD" w:rsidP="00406942" w:rsidRDefault="008549EC" w14:paraId="36870A7D" w14:textId="67A51784">
      <w:pPr>
        <w:pStyle w:val="Heading2"/>
      </w:pPr>
      <w:r>
        <w:t>2.</w:t>
      </w:r>
      <w:r w:rsidR="00C5654B">
        <w:t>2</w:t>
      </w:r>
      <w:r>
        <w:t xml:space="preserve"> </w:t>
      </w:r>
      <w:r w:rsidR="00D07E01">
        <w:t>Re-establishment and CHO recovery description</w:t>
      </w:r>
    </w:p>
    <w:p w:rsidRPr="00B60207" w:rsidR="00406942" w:rsidP="0097598A" w:rsidRDefault="00406942" w14:paraId="0004E577" w14:textId="7BBE464E">
      <w:pPr>
        <w:spacing w:line="259" w:lineRule="auto"/>
      </w:pPr>
      <w:r>
        <w:t xml:space="preserve">Some of the MRO scenarios discussed in [1] contain </w:t>
      </w:r>
      <w:r w:rsidR="00A91002">
        <w:t xml:space="preserve">the </w:t>
      </w:r>
      <w:r>
        <w:t xml:space="preserve">CHO recovery procedure. However, the use case descriptions only use the term ‘re-establishment’ to cover both regular re-establishment and </w:t>
      </w:r>
      <w:r w:rsidR="00BE0EA8">
        <w:t xml:space="preserve">CHO </w:t>
      </w:r>
      <w:r>
        <w:t xml:space="preserve">recovery cases which is confusing and </w:t>
      </w:r>
      <w:r w:rsidR="1CF018FE">
        <w:t>n</w:t>
      </w:r>
      <w:r w:rsidR="66BCCC1B">
        <w:t>ot fully correct</w:t>
      </w:r>
      <w:r w:rsidR="5889B728">
        <w:t>.</w:t>
      </w:r>
      <w:r w:rsidR="00D77600">
        <w:t xml:space="preserve"> </w:t>
      </w:r>
      <w:r w:rsidRPr="00B60207" w:rsidR="00D77600">
        <w:t xml:space="preserve">Additionally, agreements from RAN2#113bis also contain this ambiguous wording: </w:t>
      </w:r>
    </w:p>
    <w:p w:rsidRPr="00B60207" w:rsidR="00D77600" w:rsidP="00D77600" w:rsidRDefault="00D77600" w14:paraId="46B805B7" w14:textId="77777777">
      <w:pPr>
        <w:spacing w:line="259" w:lineRule="auto"/>
        <w:rPr>
          <w:i/>
          <w:iCs/>
          <w:lang w:val="en-US"/>
        </w:rPr>
      </w:pPr>
      <w:r w:rsidRPr="00B60207">
        <w:lastRenderedPageBreak/>
        <w:tab/>
      </w:r>
      <w:r w:rsidRPr="00B60207">
        <w:rPr>
          <w:i/>
          <w:iCs/>
        </w:rPr>
        <w:t>The following information in the RLF report for CHO are needed:</w:t>
      </w:r>
    </w:p>
    <w:p w:rsidRPr="00B60207" w:rsidR="00D77600" w:rsidP="00D77600" w:rsidRDefault="00D77600" w14:paraId="1CC02256" w14:textId="77777777">
      <w:pPr>
        <w:spacing w:line="259" w:lineRule="auto"/>
        <w:rPr>
          <w:i/>
          <w:iCs/>
          <w:lang w:val="en-US"/>
        </w:rPr>
      </w:pPr>
      <w:r w:rsidRPr="00B60207">
        <w:rPr>
          <w:i/>
          <w:iCs/>
        </w:rPr>
        <w:t>b.</w:t>
      </w:r>
      <w:r w:rsidRPr="00B60207">
        <w:rPr>
          <w:i/>
          <w:iCs/>
        </w:rPr>
        <w:tab/>
      </w:r>
      <w:r w:rsidRPr="00B60207">
        <w:rPr>
          <w:i/>
          <w:iCs/>
        </w:rPr>
        <w:t>CHOCellId, to indicate the selected CHO cell after the first connection failure and before the reestablishment</w:t>
      </w:r>
    </w:p>
    <w:p w:rsidRPr="00B60207" w:rsidR="00D77600" w:rsidP="00D77600" w:rsidRDefault="00D77600" w14:paraId="11F20374" w14:textId="77777777">
      <w:pPr>
        <w:spacing w:line="259" w:lineRule="auto"/>
        <w:rPr>
          <w:i/>
          <w:iCs/>
          <w:u w:val="single"/>
          <w:lang w:val="en-US"/>
        </w:rPr>
      </w:pPr>
      <w:r w:rsidRPr="00B60207">
        <w:rPr>
          <w:i/>
          <w:iCs/>
        </w:rPr>
        <w:t>c.</w:t>
      </w:r>
      <w:r w:rsidRPr="00B60207">
        <w:rPr>
          <w:i/>
          <w:iCs/>
        </w:rPr>
        <w:tab/>
      </w:r>
      <w:r w:rsidRPr="00B60207">
        <w:rPr>
          <w:i/>
          <w:iCs/>
        </w:rPr>
        <w:t xml:space="preserve">CellID to indicate the cell in which the UE attempted the </w:t>
      </w:r>
      <w:r w:rsidRPr="00B60207">
        <w:rPr>
          <w:i/>
          <w:iCs/>
          <w:u w:val="single"/>
        </w:rPr>
        <w:t>second reestablishment after failure of the first reestablishment following an HOF/RLF.</w:t>
      </w:r>
    </w:p>
    <w:p w:rsidRPr="00A06D5D" w:rsidR="00D77600" w:rsidP="0097598A" w:rsidRDefault="00D77600" w14:paraId="4D9C0B82" w14:textId="70225A88">
      <w:pPr>
        <w:spacing w:line="259" w:lineRule="auto"/>
        <w:rPr>
          <w:i/>
          <w:iCs/>
          <w:lang w:val="en-US"/>
        </w:rPr>
      </w:pPr>
      <w:r w:rsidRPr="00B60207">
        <w:rPr>
          <w:i/>
          <w:iCs/>
        </w:rPr>
        <w:t>How to provide these information is FFS.</w:t>
      </w:r>
    </w:p>
    <w:p w:rsidR="00FE07DC" w:rsidP="00406942" w:rsidRDefault="00406942" w14:paraId="2491E945" w14:textId="5AEFE175">
      <w:r>
        <w:t>It was agreed in RAN2 that following a RLF/HOF/CHO</w:t>
      </w:r>
      <w:r w:rsidR="0097598A">
        <w:t xml:space="preserve"> Failure,</w:t>
      </w:r>
      <w:r>
        <w:t xml:space="preserve"> that th</w:t>
      </w:r>
      <w:r w:rsidR="0097598A">
        <w:t>e</w:t>
      </w:r>
      <w:r>
        <w:t xml:space="preserve"> UE can rescue the connection by </w:t>
      </w:r>
      <w:r w:rsidR="00781199">
        <w:t xml:space="preserve">performing </w:t>
      </w:r>
      <w:r>
        <w:t xml:space="preserve">a CHO recovery to a prepared CHO candidate cell. </w:t>
      </w:r>
      <w:r w:rsidR="288A75EB">
        <w:t>38.300 section 9.2.7 specifies the following actions on the UE side</w:t>
      </w:r>
      <w:r w:rsidR="175211CF">
        <w:t xml:space="preserve"> once RLF is detected and CHO recovery is enabled:</w:t>
      </w:r>
    </w:p>
    <w:p w:rsidR="00FE07DC" w:rsidP="0097598A" w:rsidRDefault="288A75EB" w14:paraId="518877BE" w14:textId="3C1DD3B5">
      <w:pPr>
        <w:pStyle w:val="ListParagraph"/>
        <w:numPr>
          <w:ilvl w:val="0"/>
          <w:numId w:val="1"/>
        </w:numPr>
        <w:rPr>
          <w:rFonts w:ascii="Calibri" w:hAnsi="Calibri" w:eastAsia="Calibri" w:cs="Calibri"/>
          <w:b/>
          <w:bCs/>
        </w:rPr>
      </w:pPr>
      <w:r w:rsidRPr="0097598A">
        <w:rPr>
          <w:i/>
          <w:iCs/>
        </w:rPr>
        <w:t>selects a suitable cell and if the selected cell is a CHO candidate and if network configured the UE to try CHO after RLF then the UE attempts CHO execution once, otherwise re-establishment is performed;</w:t>
      </w:r>
    </w:p>
    <w:p w:rsidRPr="0097598A" w:rsidR="00FE07DC" w:rsidP="453FD5F1" w:rsidRDefault="288A75EB" w14:paraId="60150FDF" w14:textId="14C5B750">
      <w:pPr>
        <w:rPr>
          <w:i/>
          <w:iCs/>
        </w:rPr>
      </w:pPr>
      <w:r w:rsidRPr="0097598A">
        <w:rPr>
          <w:i/>
          <w:iCs/>
        </w:rPr>
        <w:t xml:space="preserve">           -   enters RRC_IDLE if a suitable cell was not found within a certain time after RLF was declared.</w:t>
      </w:r>
    </w:p>
    <w:p w:rsidR="00FE07DC" w:rsidP="453FD5F1" w:rsidRDefault="288A75EB" w14:paraId="5AF054FF" w14:textId="42E057B3">
      <w:r w:rsidRPr="0097598A">
        <w:t>38.331 section 5.3.7.3</w:t>
      </w:r>
      <w:r w:rsidRPr="453FD5F1" w:rsidR="6D95F180">
        <w:t xml:space="preserve"> describes the actions</w:t>
      </w:r>
      <w:r w:rsidRPr="453FD5F1" w:rsidR="0D3EB388">
        <w:t xml:space="preserve"> the UE takes  cell selection while T311 is running</w:t>
      </w:r>
      <w:r w:rsidRPr="453FD5F1" w:rsidR="6D95F180">
        <w:t xml:space="preserve"> </w:t>
      </w:r>
      <w:r w:rsidRPr="453FD5F1" w:rsidR="72321CB5">
        <w:t>:</w:t>
      </w:r>
    </w:p>
    <w:p w:rsidRPr="0097598A" w:rsidR="00FE07DC" w:rsidP="453FD5F1" w:rsidRDefault="00406942" w14:paraId="5675800D" w14:textId="1726D7B4">
      <w:pPr>
        <w:rPr>
          <w:i/>
          <w:iCs/>
        </w:rPr>
      </w:pPr>
      <w:r>
        <w:tab/>
      </w:r>
      <w:r w:rsidRPr="0097598A" w:rsidR="72321CB5">
        <w:rPr>
          <w:i/>
          <w:iCs/>
        </w:rPr>
        <w:t>if attemptCondReconfig is configured; and</w:t>
      </w:r>
    </w:p>
    <w:p w:rsidRPr="0097598A" w:rsidR="00FE07DC" w:rsidP="0097598A" w:rsidRDefault="72321CB5" w14:paraId="5A154F9D" w14:textId="14FA753A">
      <w:pPr>
        <w:ind w:left="284" w:firstLine="284"/>
        <w:rPr>
          <w:i/>
          <w:iCs/>
        </w:rPr>
      </w:pPr>
      <w:r w:rsidRPr="0097598A">
        <w:rPr>
          <w:i/>
          <w:iCs/>
        </w:rPr>
        <w:t>1&gt;    if the selected cell is one of the candidate cells for which the reconfigurationWithSync is included in the masterCellGroup in VarConditionalReconfig:</w:t>
      </w:r>
    </w:p>
    <w:p w:rsidR="00FE07DC" w:rsidP="0097598A" w:rsidRDefault="72321CB5" w14:paraId="02BA75FC" w14:textId="1928F47A">
      <w:pPr>
        <w:ind w:left="568" w:firstLine="284"/>
        <w:rPr>
          <w:i/>
          <w:iCs/>
        </w:rPr>
      </w:pPr>
      <w:r w:rsidRPr="0097598A">
        <w:rPr>
          <w:i/>
          <w:iCs/>
        </w:rPr>
        <w:t>2&gt;    apply the stored condRRCReconfig associated to the selected cell and perform actions as specified in 5.3.5.3;</w:t>
      </w:r>
    </w:p>
    <w:p w:rsidR="00FE07DC" w:rsidP="00406942" w:rsidRDefault="00406942" w14:paraId="5242DFDF" w14:textId="35EA36A1">
      <w:r>
        <w:t>The CHO recovery has been defined as a part of re</w:t>
      </w:r>
      <w:r w:rsidR="623FF1A6">
        <w:t>-</w:t>
      </w:r>
      <w:r>
        <w:t xml:space="preserve">establishment procedure. If </w:t>
      </w:r>
      <w:r w:rsidR="196A4F8A">
        <w:t xml:space="preserve"> the </w:t>
      </w:r>
      <w:r>
        <w:t xml:space="preserve">selected cell is a CHO candidate, the UE accesses the cell </w:t>
      </w:r>
      <w:r w:rsidR="68A6880A">
        <w:t>as it would in a regular CHO execution</w:t>
      </w:r>
      <w:r w:rsidR="00221D1F">
        <w:t xml:space="preserve"> </w:t>
      </w:r>
      <w:r>
        <w:t>(random access, etc. using the stored CHO configuration)</w:t>
      </w:r>
      <w:r w:rsidR="00C35779">
        <w:t xml:space="preserve"> without re-esta</w:t>
      </w:r>
      <w:r w:rsidR="000162D0">
        <w:t>blishment request</w:t>
      </w:r>
      <w:r>
        <w:t xml:space="preserve">.. So, from the network and UE point of view there is a clear </w:t>
      </w:r>
      <w:r w:rsidR="00FE07DC">
        <w:t>difference between</w:t>
      </w:r>
      <w:r>
        <w:t xml:space="preserve"> CHO recovery and the re-establishment procedure. </w:t>
      </w:r>
    </w:p>
    <w:p w:rsidR="00A209D6" w:rsidP="00B4037C" w:rsidRDefault="00FE07DC" w14:paraId="71358DD1" w14:textId="5458ABC0">
      <w:r w:rsidRPr="00FE07DC">
        <w:rPr>
          <w:b/>
          <w:bCs/>
        </w:rPr>
        <w:t xml:space="preserve">Proposal </w:t>
      </w:r>
      <w:r w:rsidR="00B60207">
        <w:rPr>
          <w:b/>
          <w:bCs/>
        </w:rPr>
        <w:t>2</w:t>
      </w:r>
      <w:r w:rsidRPr="00FE07DC">
        <w:rPr>
          <w:b/>
          <w:bCs/>
        </w:rPr>
        <w:t xml:space="preserve">: </w:t>
      </w:r>
      <w:r w:rsidRPr="00FE07DC" w:rsidR="00406942">
        <w:rPr>
          <w:b/>
          <w:bCs/>
        </w:rPr>
        <w:t xml:space="preserve"> </w:t>
      </w:r>
      <w:r w:rsidRPr="00FE07DC">
        <w:rPr>
          <w:b/>
          <w:bCs/>
        </w:rPr>
        <w:t xml:space="preserve">It is proposed the RAN2 </w:t>
      </w:r>
      <w:r w:rsidR="000B56AA">
        <w:rPr>
          <w:b/>
          <w:bCs/>
        </w:rPr>
        <w:t xml:space="preserve">use more exact wording </w:t>
      </w:r>
      <w:r w:rsidRPr="00FE07DC">
        <w:rPr>
          <w:b/>
          <w:bCs/>
        </w:rPr>
        <w:t>in the description of MRO scenarios</w:t>
      </w:r>
      <w:r w:rsidR="00D77600">
        <w:rPr>
          <w:b/>
          <w:bCs/>
        </w:rPr>
        <w:t xml:space="preserve"> and actions</w:t>
      </w:r>
      <w:r w:rsidR="000B56AA">
        <w:rPr>
          <w:b/>
          <w:bCs/>
        </w:rPr>
        <w:t xml:space="preserve"> in order to differentiate between CHO recovery and re-establishment procedure. </w:t>
      </w:r>
      <w:r w:rsidRPr="00FE07DC">
        <w:rPr>
          <w:b/>
          <w:bCs/>
        </w:rPr>
        <w:t xml:space="preserve"> </w:t>
      </w:r>
      <w:r w:rsidRPr="006E13D1" w:rsidR="00A209D6">
        <w:tab/>
      </w:r>
    </w:p>
    <w:p w:rsidR="00E4215C" w:rsidP="00B4037C" w:rsidRDefault="00E4215C" w14:paraId="0C9B27D4" w14:textId="3753A73D"/>
    <w:p w:rsidR="00E4215C" w:rsidP="00E4215C" w:rsidRDefault="00E4215C" w14:paraId="1F43A3FB" w14:textId="57EA1E54">
      <w:pPr>
        <w:pStyle w:val="Heading2"/>
      </w:pPr>
      <w:r>
        <w:t>2.</w:t>
      </w:r>
      <w:r w:rsidR="00C5654B">
        <w:t>3</w:t>
      </w:r>
      <w:r>
        <w:t xml:space="preserve"> </w:t>
      </w:r>
      <w:r w:rsidRPr="00E4215C">
        <w:t xml:space="preserve">RLF report content </w:t>
      </w:r>
    </w:p>
    <w:p w:rsidR="00E4215C" w:rsidP="00E4215C" w:rsidRDefault="00E4215C" w14:paraId="0BDB812F" w14:textId="14475006">
      <w:r>
        <w:t xml:space="preserve">Based on the outcome of </w:t>
      </w:r>
      <w:r w:rsidR="001E1490">
        <w:t>RAN2#113ebis,</w:t>
      </w:r>
      <w:r>
        <w:t xml:space="preserve"> we still feel there are several important information elements which are currently not considered for inclusion in the RLF report.</w:t>
      </w:r>
    </w:p>
    <w:p w:rsidR="00433289" w:rsidP="00433289" w:rsidRDefault="00433289" w14:paraId="353BD89E" w14:textId="4A4A7CEB">
      <w:r>
        <w:t>In Rel-16, the UE may be configured with a variety handover types: regular HO, CHO or DAPS. Sometimes, the UE may even be configured with multiple handover types in parallel, e.g. CHO and HO. It is also easy to envision that future releases will even combine two handover types. For example</w:t>
      </w:r>
      <w:r w:rsidR="00894069">
        <w:t>,</w:t>
      </w:r>
      <w:r>
        <w:t xml:space="preserve"> one could combine DAPS and CHO in order to maximize the robustness and minimize interruption time. It has been already discussed in RAN2 that the RLF report should indicate the HO type, it was however no decided if this should be done implicitly or explicitly.</w:t>
      </w:r>
    </w:p>
    <w:p w:rsidRPr="00F4069B" w:rsidR="00433289" w:rsidP="00433289" w:rsidRDefault="00433289" w14:paraId="56F86362" w14:textId="1C7F0EBB">
      <w:r>
        <w:t>In our opinion, the best option is to add a simple indication (e.g flag) to indicate the HO type. This would be easy for the network to decode and also future proof and easy to extend when new HO types or HO types combinations will be defined</w:t>
      </w:r>
      <w:r w:rsidRPr="00B60207">
        <w:t xml:space="preserve">.  </w:t>
      </w:r>
      <w:r w:rsidRPr="00B60207" w:rsidR="00626C7C">
        <w:t xml:space="preserve">Note that </w:t>
      </w:r>
      <w:r w:rsidR="00B60207">
        <w:t>i</w:t>
      </w:r>
      <w:r w:rsidRPr="00B60207" w:rsidR="00626C7C">
        <w:t xml:space="preserve">n RAN2#113bis  it was already agreed to use this type of indication for DAPS HO. So it only make sense to extend this for all HO types (HO, CHO, DAPS) and possible future </w:t>
      </w:r>
      <w:r w:rsidRPr="00B60207" w:rsidR="00A06D5D">
        <w:t xml:space="preserve">handover type </w:t>
      </w:r>
      <w:r w:rsidRPr="00B60207" w:rsidR="00626C7C">
        <w:t>combinations.</w:t>
      </w:r>
      <w:r w:rsidRPr="00F4069B" w:rsidR="00626C7C">
        <w:t xml:space="preserve"> </w:t>
      </w:r>
    </w:p>
    <w:p w:rsidR="00E4215C" w:rsidP="00E4215C" w:rsidRDefault="00E4215C" w14:paraId="4AD9FD40" w14:textId="6F628E5D">
      <w:pPr>
        <w:rPr>
          <w:b/>
          <w:bCs/>
        </w:rPr>
      </w:pPr>
      <w:r w:rsidRPr="00E42660">
        <w:rPr>
          <w:b/>
          <w:bCs/>
        </w:rPr>
        <w:t>Proposal</w:t>
      </w:r>
      <w:r w:rsidRPr="00E42660" w:rsidR="00433289">
        <w:rPr>
          <w:b/>
          <w:bCs/>
        </w:rPr>
        <w:t xml:space="preserve"> </w:t>
      </w:r>
      <w:r w:rsidR="00B60207">
        <w:rPr>
          <w:b/>
          <w:bCs/>
        </w:rPr>
        <w:t>3</w:t>
      </w:r>
      <w:r w:rsidRPr="00E42660">
        <w:rPr>
          <w:b/>
          <w:bCs/>
        </w:rPr>
        <w:t>:</w:t>
      </w:r>
      <w:r w:rsidRPr="00E42660" w:rsidR="00433289">
        <w:rPr>
          <w:b/>
          <w:bCs/>
        </w:rPr>
        <w:t xml:space="preserve"> Include in the RLF report a </w:t>
      </w:r>
      <w:r w:rsidRPr="00E42660" w:rsidR="00E42660">
        <w:rPr>
          <w:b/>
          <w:bCs/>
        </w:rPr>
        <w:t xml:space="preserve">simple, explicit indication of HO type. </w:t>
      </w:r>
    </w:p>
    <w:p w:rsidRPr="00B60207" w:rsidR="00A06D5D" w:rsidP="00E4215C" w:rsidRDefault="00A06D5D" w14:paraId="369113F6" w14:textId="6AF17805">
      <w:r w:rsidRPr="00B60207">
        <w:t>In RAN2#113bis the following agreement was made:</w:t>
      </w:r>
    </w:p>
    <w:p w:rsidRPr="00B60207" w:rsidR="00A06D5D" w:rsidP="00A06D5D" w:rsidRDefault="00A06D5D" w14:paraId="56C17EC0" w14:textId="77777777">
      <w:pPr>
        <w:rPr>
          <w:i/>
          <w:iCs/>
          <w:lang w:val="en-US"/>
        </w:rPr>
      </w:pPr>
      <w:r w:rsidRPr="00B60207">
        <w:rPr>
          <w:i/>
          <w:iCs/>
        </w:rPr>
        <w:t>Include in the RLF-report for CHO the following:</w:t>
      </w:r>
    </w:p>
    <w:p w:rsidRPr="00B60207" w:rsidR="00A06D5D" w:rsidP="00A06D5D" w:rsidRDefault="00A06D5D" w14:paraId="58286AAF" w14:textId="77777777">
      <w:pPr>
        <w:rPr>
          <w:i/>
          <w:iCs/>
          <w:lang w:val="en-US"/>
        </w:rPr>
      </w:pPr>
      <w:r w:rsidRPr="00B60207">
        <w:rPr>
          <w:i/>
          <w:iCs/>
        </w:rPr>
        <w:t>a.</w:t>
      </w:r>
      <w:r w:rsidRPr="00B60207">
        <w:rPr>
          <w:i/>
          <w:iCs/>
        </w:rPr>
        <w:tab/>
      </w:r>
      <w:r w:rsidRPr="00B60207">
        <w:rPr>
          <w:i/>
          <w:iCs/>
        </w:rPr>
        <w:t>Configured CHO execution condition(s) (A3 and/or A5 event configuration, TTT values)</w:t>
      </w:r>
    </w:p>
    <w:p w:rsidRPr="00B60207" w:rsidR="00A06D5D" w:rsidP="00A06D5D" w:rsidRDefault="00A06D5D" w14:paraId="21919ABC" w14:textId="77777777">
      <w:pPr>
        <w:rPr>
          <w:i/>
          <w:iCs/>
          <w:lang w:val="en-US"/>
        </w:rPr>
      </w:pPr>
      <w:r w:rsidRPr="00B60207">
        <w:rPr>
          <w:i/>
          <w:iCs/>
        </w:rPr>
        <w:t>b.</w:t>
      </w:r>
      <w:r w:rsidRPr="00B60207">
        <w:rPr>
          <w:i/>
          <w:iCs/>
        </w:rPr>
        <w:tab/>
      </w:r>
      <w:r w:rsidRPr="00B60207">
        <w:rPr>
          <w:i/>
          <w:iCs/>
        </w:rPr>
        <w:t>Fulfilled CHO execution condition(s), i.e. whether A3 and/or A5 event was fullfilled, for the cell(s) in which CHO execution was triggered.</w:t>
      </w:r>
    </w:p>
    <w:p w:rsidRPr="00B60207" w:rsidR="00A06D5D" w:rsidP="00A06D5D" w:rsidRDefault="00A06D5D" w14:paraId="69E9EBFF" w14:textId="77777777">
      <w:pPr>
        <w:rPr>
          <w:i/>
          <w:iCs/>
          <w:lang w:val="en-US"/>
        </w:rPr>
      </w:pPr>
      <w:r w:rsidRPr="00B60207">
        <w:rPr>
          <w:i/>
          <w:iCs/>
        </w:rPr>
        <w:tab/>
      </w:r>
      <w:r w:rsidRPr="00B60207">
        <w:rPr>
          <w:i/>
          <w:iCs/>
        </w:rPr>
        <w:t>c.      Latest radio measurement results of the candidate target cells</w:t>
      </w:r>
    </w:p>
    <w:p w:rsidRPr="00B60207" w:rsidR="00A06D5D" w:rsidP="00A06D5D" w:rsidRDefault="00A06D5D" w14:paraId="4E0F7D56" w14:textId="77777777">
      <w:pPr>
        <w:rPr>
          <w:i/>
          <w:iCs/>
          <w:lang w:val="en-US"/>
        </w:rPr>
      </w:pPr>
      <w:r w:rsidRPr="00B60207">
        <w:rPr>
          <w:i/>
          <w:iCs/>
        </w:rPr>
        <w:lastRenderedPageBreak/>
        <w:t>Inclusion of a) and c) are subject to the RAN3 reply to the RAN2 LS R2-2102149.</w:t>
      </w:r>
    </w:p>
    <w:p w:rsidRPr="00B60207" w:rsidR="00A06D5D" w:rsidP="00A06D5D" w:rsidRDefault="00A06D5D" w14:paraId="43483511" w14:textId="35AB6E4D">
      <w:pPr>
        <w:rPr>
          <w:i/>
          <w:iCs/>
        </w:rPr>
      </w:pPr>
      <w:r w:rsidRPr="00B60207">
        <w:rPr>
          <w:i/>
          <w:iCs/>
        </w:rPr>
        <w:t>Try to reuse existing mechanism as much as possible.</w:t>
      </w:r>
    </w:p>
    <w:p w:rsidRPr="00B60207" w:rsidR="00A80322" w:rsidP="00A80322" w:rsidRDefault="00A06D5D" w14:paraId="4415694F" w14:textId="77777777">
      <w:r w:rsidRPr="00B60207">
        <w:t>It is unclear however, what is the exact meaning of point b). If CHO execution was triggered, it means that the CHO condition configured for that cell was fulfilled. Otherwise the execution would not have happened. This is also the case when two events are configured as CHO execution conditio</w:t>
      </w:r>
      <w:r w:rsidRPr="00B60207" w:rsidR="00A80322">
        <w:t xml:space="preserve">n, these would still both have to be fulfilled in order for CHO to be executed: </w:t>
      </w:r>
    </w:p>
    <w:p w:rsidRPr="00B60207" w:rsidR="00A80322" w:rsidP="00A80322" w:rsidRDefault="00A80322" w14:paraId="2837407C" w14:textId="0A3C3DA4">
      <w:pPr>
        <w:rPr>
          <w:lang w:val="en-US"/>
        </w:rPr>
      </w:pPr>
      <w:r w:rsidRPr="00B60207">
        <w:rPr>
          <w:i/>
          <w:iCs/>
          <w:lang w:val="en-US"/>
        </w:rPr>
        <w:t>Option 3: CHO is executed if the entering condition of one event has been fulfilled for first TTT, and the second TTT expires while the first triggered event does not fulfill the "leaving-condition.</w:t>
      </w:r>
    </w:p>
    <w:p w:rsidRPr="00B60207" w:rsidR="00A06D5D" w:rsidP="00A06D5D" w:rsidRDefault="00A80322" w14:paraId="0CB34B81" w14:textId="38886C50">
      <w:pPr>
        <w:rPr>
          <w:lang w:val="en-US"/>
        </w:rPr>
      </w:pPr>
      <w:r w:rsidRPr="00B60207">
        <w:rPr>
          <w:lang w:val="en-US"/>
        </w:rPr>
        <w:t>Moreover, even if two different CHO prepared target fulfil the execution condition set for them, the UE will only execute CHO to one of them. If this fails, the UE may do CHO recovery to a prepared CHO target but in this case the CHO execution condition associated with said target cell will no longer be evaluated.</w:t>
      </w:r>
    </w:p>
    <w:p w:rsidRPr="00A06D5D" w:rsidR="00A80322" w:rsidP="00A06D5D" w:rsidRDefault="00A80322" w14:paraId="60AE2DA7" w14:textId="22D1E831">
      <w:pPr>
        <w:rPr>
          <w:b/>
          <w:bCs/>
          <w:lang w:val="en-US"/>
        </w:rPr>
      </w:pPr>
      <w:r w:rsidRPr="00B60207">
        <w:rPr>
          <w:b/>
          <w:bCs/>
          <w:lang w:val="en-US"/>
        </w:rPr>
        <w:t xml:space="preserve">Proposal </w:t>
      </w:r>
      <w:r w:rsidR="00B60207">
        <w:rPr>
          <w:b/>
          <w:bCs/>
          <w:lang w:val="en-US"/>
        </w:rPr>
        <w:t>4</w:t>
      </w:r>
      <w:r w:rsidRPr="00B60207">
        <w:rPr>
          <w:b/>
          <w:bCs/>
          <w:lang w:val="en-US"/>
        </w:rPr>
        <w:t>: RAN2 to clarify and possibly correct point b) in the above agreement</w:t>
      </w:r>
      <w:r w:rsidRPr="00B60207" w:rsidR="00C5654B">
        <w:rPr>
          <w:b/>
          <w:bCs/>
          <w:lang w:val="en-US"/>
        </w:rPr>
        <w:t xml:space="preserve"> to reflect the correct CHO behaviour</w:t>
      </w:r>
      <w:r w:rsidRPr="00B60207">
        <w:rPr>
          <w:b/>
          <w:bCs/>
          <w:lang w:val="en-US"/>
        </w:rPr>
        <w:t>.</w:t>
      </w:r>
    </w:p>
    <w:p w:rsidR="00E4215C" w:rsidP="3C8A6292" w:rsidRDefault="00A80322" w14:paraId="1EFB4474" w14:textId="449CB8FC">
      <w:pPr>
        <w:pStyle w:val="Header"/>
        <w:tabs>
          <w:tab w:val="right" w:pos="9639"/>
        </w:tabs>
        <w:jc w:val="both"/>
        <w:rPr>
          <w:rFonts w:ascii="Times New Roman" w:hAnsi="Times New Roman"/>
          <w:b w:val="0"/>
          <w:noProof w:val="0"/>
          <w:sz w:val="20"/>
          <w:lang w:eastAsia="en-US"/>
        </w:rPr>
      </w:pPr>
      <w:r>
        <w:rPr>
          <w:rFonts w:ascii="Times New Roman" w:hAnsi="Times New Roman"/>
          <w:b w:val="0"/>
          <w:noProof w:val="0"/>
          <w:sz w:val="20"/>
          <w:lang w:val="en-US" w:eastAsia="en-US"/>
        </w:rPr>
        <w:t xml:space="preserve">With that in mind, the case of dual event CHO execution does deserve some consideration. </w:t>
      </w:r>
      <w:r w:rsidRPr="3C8A6292" w:rsidR="00E4215C">
        <w:rPr>
          <w:rFonts w:ascii="Times New Roman" w:hAnsi="Times New Roman"/>
          <w:b w:val="0"/>
          <w:noProof w:val="0"/>
          <w:sz w:val="20"/>
          <w:lang w:eastAsia="en-US"/>
        </w:rPr>
        <w:t xml:space="preserve"> </w:t>
      </w:r>
      <w:r>
        <w:rPr>
          <w:rFonts w:ascii="Times New Roman" w:hAnsi="Times New Roman"/>
          <w:b w:val="0"/>
          <w:noProof w:val="0"/>
          <w:sz w:val="20"/>
          <w:lang w:eastAsia="en-US"/>
        </w:rPr>
        <w:t>Dual event</w:t>
      </w:r>
      <w:r w:rsidRPr="3C8A6292" w:rsidR="00E4215C">
        <w:rPr>
          <w:rFonts w:ascii="Times New Roman" w:hAnsi="Times New Roman"/>
          <w:b w:val="0"/>
          <w:noProof w:val="0"/>
          <w:sz w:val="20"/>
          <w:lang w:eastAsia="en-US"/>
        </w:rPr>
        <w:t xml:space="preserve"> CHO execution condition may consist of up to two events e.g. A3 or A5 that will assess RSRP and RSRQ levels, correspondingly, before performing HO to the target cell. The trigger quantity (RSRP or RSRQ), hysteresis, offset, threshold and TTT can be configured differently for each event. In order for the network to perform correct MRO analysis and re-parametrization, it would be helpful to have additional information logged in the RLF report. Timers and event status could be reported so that the timeline of the CHO execution evaluation could be pieced back </w:t>
      </w:r>
      <w:r w:rsidRPr="3C8A6292" w:rsidR="00E42660">
        <w:rPr>
          <w:rFonts w:ascii="Times New Roman" w:hAnsi="Times New Roman"/>
          <w:b w:val="0"/>
          <w:noProof w:val="0"/>
          <w:sz w:val="20"/>
          <w:lang w:eastAsia="en-US"/>
        </w:rPr>
        <w:t>together,</w:t>
      </w:r>
      <w:r w:rsidRPr="3C8A6292" w:rsidR="00E4215C">
        <w:rPr>
          <w:rFonts w:ascii="Times New Roman" w:hAnsi="Times New Roman"/>
          <w:b w:val="0"/>
          <w:noProof w:val="0"/>
          <w:sz w:val="20"/>
          <w:lang w:eastAsia="en-US"/>
        </w:rPr>
        <w:t xml:space="preserve"> and the right event configuration modified</w:t>
      </w:r>
      <w:r w:rsidRPr="3C8A6292" w:rsidR="00433289">
        <w:rPr>
          <w:rFonts w:ascii="Times New Roman" w:hAnsi="Times New Roman"/>
          <w:b w:val="0"/>
          <w:noProof w:val="0"/>
          <w:sz w:val="20"/>
          <w:lang w:eastAsia="en-US"/>
        </w:rPr>
        <w:t xml:space="preserve">. Information such </w:t>
      </w:r>
      <w:r w:rsidRPr="3C8A6292" w:rsidR="210A588D">
        <w:rPr>
          <w:rFonts w:ascii="Times New Roman" w:hAnsi="Times New Roman"/>
          <w:b w:val="0"/>
          <w:noProof w:val="0"/>
          <w:sz w:val="20"/>
          <w:lang w:eastAsia="en-US"/>
        </w:rPr>
        <w:t xml:space="preserve">as </w:t>
      </w:r>
      <w:r w:rsidRPr="3C8A6292" w:rsidR="00433289">
        <w:rPr>
          <w:rFonts w:ascii="Times New Roman" w:hAnsi="Times New Roman"/>
          <w:b w:val="0"/>
          <w:noProof w:val="0"/>
          <w:sz w:val="20"/>
          <w:lang w:eastAsia="en-US"/>
        </w:rPr>
        <w:t>which event of the two was fulfilled</w:t>
      </w:r>
      <w:r w:rsidRPr="3C8A6292" w:rsidR="67642F33">
        <w:rPr>
          <w:rFonts w:ascii="Times New Roman" w:hAnsi="Times New Roman"/>
          <w:b w:val="0"/>
          <w:noProof w:val="0"/>
          <w:sz w:val="20"/>
          <w:lang w:eastAsia="en-US"/>
        </w:rPr>
        <w:t xml:space="preserve"> (first)</w:t>
      </w:r>
      <w:r w:rsidRPr="3C8A6292" w:rsidR="00433289">
        <w:rPr>
          <w:rFonts w:ascii="Times New Roman" w:hAnsi="Times New Roman"/>
          <w:b w:val="0"/>
          <w:noProof w:val="0"/>
          <w:sz w:val="20"/>
          <w:lang w:eastAsia="en-US"/>
        </w:rPr>
        <w:t>, the time difference between the two events being fulfilled,</w:t>
      </w:r>
      <w:r w:rsidRPr="3C8A6292" w:rsidR="71DA9CA6">
        <w:rPr>
          <w:rFonts w:ascii="Times New Roman" w:hAnsi="Times New Roman"/>
          <w:b w:val="0"/>
          <w:noProof w:val="0"/>
          <w:sz w:val="20"/>
          <w:lang w:eastAsia="en-US"/>
        </w:rPr>
        <w:t xml:space="preserve"> information of TTT running or value for either events,</w:t>
      </w:r>
      <w:r w:rsidRPr="3C8A6292" w:rsidR="00433289">
        <w:rPr>
          <w:rFonts w:ascii="Times New Roman" w:hAnsi="Times New Roman"/>
          <w:b w:val="0"/>
          <w:noProof w:val="0"/>
          <w:sz w:val="20"/>
          <w:lang w:eastAsia="en-US"/>
        </w:rPr>
        <w:t xml:space="preserve"> etc could be included in the RLF report.</w:t>
      </w:r>
    </w:p>
    <w:p w:rsidR="00433289" w:rsidP="00E4215C" w:rsidRDefault="00433289" w14:paraId="6A9615D8" w14:textId="3B771200">
      <w:pPr>
        <w:pStyle w:val="Header"/>
        <w:tabs>
          <w:tab w:val="right" w:pos="9639"/>
        </w:tabs>
        <w:jc w:val="both"/>
        <w:rPr>
          <w:rFonts w:ascii="Times New Roman" w:hAnsi="Times New Roman"/>
          <w:b w:val="0"/>
          <w:noProof w:val="0"/>
          <w:sz w:val="20"/>
          <w:lang w:eastAsia="en-US"/>
        </w:rPr>
      </w:pPr>
    </w:p>
    <w:p w:rsidR="00433289" w:rsidP="00E4215C" w:rsidRDefault="00433289" w14:paraId="61FA6CFB" w14:textId="52BC7518">
      <w:pPr>
        <w:pStyle w:val="Header"/>
        <w:tabs>
          <w:tab w:val="right" w:pos="9639"/>
        </w:tabs>
        <w:jc w:val="both"/>
        <w:rPr>
          <w:rFonts w:ascii="Times New Roman" w:hAnsi="Times New Roman"/>
          <w:bCs/>
          <w:noProof w:val="0"/>
          <w:sz w:val="20"/>
          <w:lang w:eastAsia="en-US"/>
        </w:rPr>
      </w:pPr>
      <w:r w:rsidRPr="00433289">
        <w:rPr>
          <w:rFonts w:ascii="Times New Roman" w:hAnsi="Times New Roman"/>
          <w:bCs/>
          <w:noProof w:val="0"/>
          <w:sz w:val="20"/>
          <w:lang w:eastAsia="en-US"/>
        </w:rPr>
        <w:t xml:space="preserve">Proposal </w:t>
      </w:r>
      <w:r w:rsidR="00B60207">
        <w:rPr>
          <w:rFonts w:ascii="Times New Roman" w:hAnsi="Times New Roman"/>
          <w:bCs/>
          <w:noProof w:val="0"/>
          <w:sz w:val="20"/>
          <w:lang w:eastAsia="en-US"/>
        </w:rPr>
        <w:t>5</w:t>
      </w:r>
      <w:r w:rsidRPr="00433289">
        <w:rPr>
          <w:rFonts w:ascii="Times New Roman" w:hAnsi="Times New Roman"/>
          <w:bCs/>
          <w:noProof w:val="0"/>
          <w:sz w:val="20"/>
          <w:lang w:eastAsia="en-US"/>
        </w:rPr>
        <w:t xml:space="preserve">: In case of dual event CHO execution, include information regarding both events and the </w:t>
      </w:r>
      <w:r w:rsidRPr="00433289" w:rsidR="00E42660">
        <w:rPr>
          <w:rFonts w:ascii="Times New Roman" w:hAnsi="Times New Roman"/>
          <w:bCs/>
          <w:noProof w:val="0"/>
          <w:sz w:val="20"/>
          <w:lang w:eastAsia="en-US"/>
        </w:rPr>
        <w:t>timing relationship</w:t>
      </w:r>
      <w:r w:rsidRPr="00433289">
        <w:rPr>
          <w:rFonts w:ascii="Times New Roman" w:hAnsi="Times New Roman"/>
          <w:bCs/>
          <w:noProof w:val="0"/>
          <w:sz w:val="20"/>
          <w:lang w:eastAsia="en-US"/>
        </w:rPr>
        <w:t xml:space="preserve"> between them in the RLF report.</w:t>
      </w:r>
    </w:p>
    <w:p w:rsidR="00C5654B" w:rsidP="00E4215C" w:rsidRDefault="00C5654B" w14:paraId="7DE69096" w14:textId="1145BC76">
      <w:pPr>
        <w:pStyle w:val="Header"/>
        <w:tabs>
          <w:tab w:val="right" w:pos="9639"/>
        </w:tabs>
        <w:jc w:val="both"/>
        <w:rPr>
          <w:rFonts w:ascii="Times New Roman" w:hAnsi="Times New Roman"/>
          <w:bCs/>
          <w:noProof w:val="0"/>
          <w:sz w:val="20"/>
          <w:lang w:eastAsia="en-US"/>
        </w:rPr>
      </w:pPr>
    </w:p>
    <w:p w:rsidR="00A209D6" w:rsidP="00A209D6" w:rsidRDefault="00A209D6" w14:paraId="5FF2457F" w14:textId="3E92D33E">
      <w:pPr>
        <w:pStyle w:val="Heading1"/>
      </w:pPr>
      <w:r w:rsidRPr="006E13D1">
        <w:t>4</w:t>
      </w:r>
      <w:r w:rsidRPr="006E13D1">
        <w:tab/>
      </w:r>
      <w:r w:rsidR="008C3057">
        <w:t>Conclusion</w:t>
      </w:r>
    </w:p>
    <w:p w:rsidRPr="006E13D1" w:rsidR="004F73A7" w:rsidP="00A209D6" w:rsidRDefault="004F73A7" w14:paraId="7B7240A4" w14:textId="0C8F8028">
      <w:r>
        <w:t>This documents has made</w:t>
      </w:r>
      <w:r w:rsidR="004F4540">
        <w:t xml:space="preserve"> the following observations</w:t>
      </w:r>
      <w:r w:rsidR="00D07E01">
        <w:t xml:space="preserve"> and proposals</w:t>
      </w:r>
      <w:r w:rsidR="004F4540">
        <w:t>:</w:t>
      </w:r>
    </w:p>
    <w:p w:rsidR="00355173" w:rsidP="00355173" w:rsidRDefault="00355173" w14:paraId="7EE9D12F" w14:textId="62137E9D">
      <w:pPr>
        <w:spacing w:after="0"/>
        <w:rPr>
          <w:b/>
          <w:bCs/>
        </w:rPr>
      </w:pPr>
      <w:r>
        <w:rPr>
          <w:b/>
          <w:bCs/>
        </w:rPr>
        <w:t xml:space="preserve">Proposal </w:t>
      </w:r>
      <w:r w:rsidR="00B60207">
        <w:rPr>
          <w:b/>
          <w:bCs/>
        </w:rPr>
        <w:t>1</w:t>
      </w:r>
      <w:r>
        <w:rPr>
          <w:b/>
          <w:bCs/>
        </w:rPr>
        <w:t xml:space="preserve">: </w:t>
      </w:r>
      <w:r w:rsidRPr="00A516A3">
        <w:rPr>
          <w:b/>
          <w:bCs/>
        </w:rPr>
        <w:t>The UE logs the</w:t>
      </w:r>
      <w:r>
        <w:rPr>
          <w:b/>
          <w:bCs/>
        </w:rPr>
        <w:t xml:space="preserve"> Successful</w:t>
      </w:r>
      <w:r w:rsidRPr="00A516A3">
        <w:rPr>
          <w:b/>
          <w:bCs/>
        </w:rPr>
        <w:t xml:space="preserve"> HO report if, the time between receiving the RRCReconfiguration c</w:t>
      </w:r>
      <w:r>
        <w:rPr>
          <w:b/>
          <w:bCs/>
        </w:rPr>
        <w:t>o</w:t>
      </w:r>
      <w:r w:rsidRPr="00A516A3">
        <w:rPr>
          <w:b/>
          <w:bCs/>
        </w:rPr>
        <w:t>mmand with sync and the CHO execution exceed a certain threshold.</w:t>
      </w:r>
    </w:p>
    <w:p w:rsidRPr="00A516A3" w:rsidR="00626C7C" w:rsidP="00355173" w:rsidRDefault="00626C7C" w14:paraId="05C34D12" w14:textId="77777777">
      <w:pPr>
        <w:spacing w:after="0"/>
        <w:rPr>
          <w:b/>
          <w:bCs/>
          <w:lang w:val="en-US"/>
        </w:rPr>
      </w:pPr>
    </w:p>
    <w:p w:rsidR="00355173" w:rsidP="00355173" w:rsidRDefault="00355173" w14:paraId="243A3321" w14:textId="439A2F8B">
      <w:r>
        <w:rPr>
          <w:b/>
          <w:bCs/>
        </w:rPr>
        <w:t>P</w:t>
      </w:r>
      <w:r w:rsidRPr="00FE07DC">
        <w:rPr>
          <w:b/>
          <w:bCs/>
        </w:rPr>
        <w:t xml:space="preserve">roposal </w:t>
      </w:r>
      <w:r w:rsidR="00B60207">
        <w:rPr>
          <w:b/>
          <w:bCs/>
        </w:rPr>
        <w:t>2</w:t>
      </w:r>
      <w:r w:rsidRPr="00FE07DC">
        <w:rPr>
          <w:b/>
          <w:bCs/>
        </w:rPr>
        <w:t xml:space="preserve">:  It is proposed the RAN2 </w:t>
      </w:r>
      <w:r>
        <w:rPr>
          <w:b/>
          <w:bCs/>
        </w:rPr>
        <w:t xml:space="preserve">use more exact wording </w:t>
      </w:r>
      <w:r w:rsidRPr="00FE07DC">
        <w:rPr>
          <w:b/>
          <w:bCs/>
        </w:rPr>
        <w:t>in the description of MRO scenarios</w:t>
      </w:r>
      <w:r>
        <w:rPr>
          <w:b/>
          <w:bCs/>
        </w:rPr>
        <w:t xml:space="preserve"> in order to differentiate between CHO recovery and re-establishment procedure. </w:t>
      </w:r>
      <w:r w:rsidRPr="00FE07DC">
        <w:rPr>
          <w:b/>
          <w:bCs/>
        </w:rPr>
        <w:t xml:space="preserve"> </w:t>
      </w:r>
      <w:r w:rsidRPr="006E13D1">
        <w:tab/>
      </w:r>
    </w:p>
    <w:p w:rsidR="00355173" w:rsidP="00355173" w:rsidRDefault="00355173" w14:paraId="276CE671" w14:textId="72391766">
      <w:pPr>
        <w:rPr>
          <w:b/>
          <w:bCs/>
        </w:rPr>
      </w:pPr>
      <w:r w:rsidRPr="00E42660">
        <w:rPr>
          <w:b/>
          <w:bCs/>
        </w:rPr>
        <w:t xml:space="preserve">Proposal </w:t>
      </w:r>
      <w:r w:rsidR="00B60207">
        <w:rPr>
          <w:b/>
          <w:bCs/>
        </w:rPr>
        <w:t>3</w:t>
      </w:r>
      <w:r w:rsidRPr="00E42660">
        <w:rPr>
          <w:b/>
          <w:bCs/>
        </w:rPr>
        <w:t xml:space="preserve">: Include in the RLF report a simple, explicit indication of HO type. </w:t>
      </w:r>
    </w:p>
    <w:p w:rsidRPr="00A06D5D" w:rsidR="00A80322" w:rsidP="00A80322" w:rsidRDefault="00A80322" w14:paraId="06F2930B" w14:textId="24D06C00">
      <w:pPr>
        <w:rPr>
          <w:b/>
          <w:bCs/>
          <w:lang w:val="en-US"/>
        </w:rPr>
      </w:pPr>
      <w:r w:rsidRPr="00B60207">
        <w:rPr>
          <w:b/>
          <w:bCs/>
          <w:lang w:val="en-US"/>
        </w:rPr>
        <w:t xml:space="preserve">Proposal </w:t>
      </w:r>
      <w:r w:rsidR="00B60207">
        <w:rPr>
          <w:b/>
          <w:bCs/>
          <w:lang w:val="en-US"/>
        </w:rPr>
        <w:t>4</w:t>
      </w:r>
      <w:r w:rsidRPr="00B60207">
        <w:rPr>
          <w:b/>
          <w:bCs/>
          <w:lang w:val="en-US"/>
        </w:rPr>
        <w:t>: RAN2 to clarify and possibly correct point b) in the above agreement</w:t>
      </w:r>
      <w:r w:rsidRPr="00B60207" w:rsidR="00C5654B">
        <w:rPr>
          <w:b/>
          <w:bCs/>
          <w:lang w:val="en-US"/>
        </w:rPr>
        <w:t xml:space="preserve"> to reflect the correct CHO behavior.</w:t>
      </w:r>
    </w:p>
    <w:p w:rsidR="004F73A7" w:rsidP="00B14402" w:rsidRDefault="00355173" w14:paraId="1ED12ED0" w14:textId="7E986522">
      <w:pPr>
        <w:pStyle w:val="Header"/>
        <w:tabs>
          <w:tab w:val="right" w:pos="9639"/>
        </w:tabs>
        <w:jc w:val="both"/>
        <w:rPr>
          <w:rFonts w:ascii="Times New Roman" w:hAnsi="Times New Roman"/>
          <w:bCs/>
          <w:noProof w:val="0"/>
          <w:sz w:val="20"/>
          <w:lang w:eastAsia="en-US"/>
        </w:rPr>
      </w:pPr>
      <w:r w:rsidRPr="00433289">
        <w:rPr>
          <w:rFonts w:ascii="Times New Roman" w:hAnsi="Times New Roman"/>
          <w:bCs/>
          <w:noProof w:val="0"/>
          <w:sz w:val="20"/>
          <w:lang w:eastAsia="en-US"/>
        </w:rPr>
        <w:t xml:space="preserve">Proposal </w:t>
      </w:r>
      <w:r w:rsidR="00B60207">
        <w:rPr>
          <w:rFonts w:ascii="Times New Roman" w:hAnsi="Times New Roman"/>
          <w:bCs/>
          <w:noProof w:val="0"/>
          <w:sz w:val="20"/>
          <w:lang w:eastAsia="en-US"/>
        </w:rPr>
        <w:t>5</w:t>
      </w:r>
      <w:r w:rsidRPr="00433289">
        <w:rPr>
          <w:rFonts w:ascii="Times New Roman" w:hAnsi="Times New Roman"/>
          <w:bCs/>
          <w:noProof w:val="0"/>
          <w:sz w:val="20"/>
          <w:lang w:eastAsia="en-US"/>
        </w:rPr>
        <w:t>: In case of dual event CHO execution, include information regarding both events and the timing relationship between them in the RLF report.</w:t>
      </w:r>
    </w:p>
    <w:p w:rsidR="002F6714" w:rsidP="00B14402" w:rsidRDefault="002F6714" w14:paraId="1B12C3EC" w14:textId="77777777">
      <w:pPr>
        <w:pStyle w:val="Header"/>
        <w:tabs>
          <w:tab w:val="right" w:pos="9639"/>
        </w:tabs>
        <w:jc w:val="both"/>
        <w:rPr>
          <w:rFonts w:ascii="Times New Roman" w:hAnsi="Times New Roman"/>
          <w:bCs/>
          <w:noProof w:val="0"/>
          <w:sz w:val="20"/>
          <w:lang w:eastAsia="en-US"/>
        </w:rPr>
      </w:pPr>
    </w:p>
    <w:p w:rsidRPr="002F6714" w:rsidR="002F6714" w:rsidP="00B14402" w:rsidRDefault="002F6714" w14:paraId="66DED2CF" w14:textId="77777777">
      <w:pPr>
        <w:pStyle w:val="Header"/>
        <w:tabs>
          <w:tab w:val="right" w:pos="9639"/>
        </w:tabs>
        <w:jc w:val="both"/>
        <w:rPr>
          <w:lang w:val="en-US"/>
        </w:rPr>
      </w:pPr>
    </w:p>
    <w:p w:rsidRPr="006E13D1" w:rsidR="00D07E01" w:rsidP="004F73A7" w:rsidRDefault="00D07E01" w14:paraId="03EE19BB" w14:textId="77777777"/>
    <w:p w:rsidR="00A209D6" w:rsidP="00D07E01" w:rsidRDefault="00D07E01" w14:paraId="60449C3F" w14:textId="5A9EF819">
      <w:pPr>
        <w:pStyle w:val="Heading1"/>
      </w:pPr>
      <w:r>
        <w:t>5 References</w:t>
      </w:r>
    </w:p>
    <w:p w:rsidR="00D07E01" w:rsidP="00D07E01" w:rsidRDefault="00D07E01" w14:paraId="1FA0B558" w14:textId="79634497">
      <w:r>
        <w:t>[1] R2</w:t>
      </w:r>
      <w:r w:rsidR="00626C7C">
        <w:t xml:space="preserve"> - </w:t>
      </w:r>
      <w:r w:rsidRPr="00626C7C" w:rsidR="00626C7C">
        <w:t>2103945</w:t>
      </w:r>
      <w:r>
        <w:t xml:space="preserve">  </w:t>
      </w:r>
      <w:r w:rsidRPr="00D07E01">
        <w:t>[Post113-e][851][NR17 SON/MDT]  HO related SON changes (Ericsson)</w:t>
      </w:r>
    </w:p>
    <w:sectPr w:rsidR="00D07E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orient="portrait"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F6AB5" w:rsidRDefault="00CF6AB5" w14:paraId="35B1C330" w14:textId="77777777">
      <w:r>
        <w:separator/>
      </w:r>
    </w:p>
  </w:endnote>
  <w:endnote w:type="continuationSeparator" w:id="0">
    <w:p w:rsidR="00CF6AB5" w:rsidRDefault="00CF6AB5" w14:paraId="4979FE48" w14:textId="77777777">
      <w:r>
        <w:continuationSeparator/>
      </w:r>
    </w:p>
  </w:endnote>
  <w:endnote w:type="continuationNotice" w:id="1">
    <w:p w:rsidR="00CF6AB5" w:rsidRDefault="00CF6AB5" w14:paraId="3791B59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F6AB5" w:rsidRDefault="00CF6AB5" w14:paraId="64B643C7" w14:textId="77777777">
      <w:r>
        <w:separator/>
      </w:r>
    </w:p>
  </w:footnote>
  <w:footnote w:type="continuationSeparator" w:id="0">
    <w:p w:rsidR="00CF6AB5" w:rsidRDefault="00CF6AB5" w14:paraId="6EB1C0C3" w14:textId="77777777">
      <w:r>
        <w:continuationSeparator/>
      </w:r>
    </w:p>
  </w:footnote>
  <w:footnote w:type="continuationNotice" w:id="1">
    <w:p w:rsidR="00CF6AB5" w:rsidRDefault="00CF6AB5" w14:paraId="20DD7BBF"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433289" w:rsidRDefault="00433289"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hint="default" w:ascii="Calibri" w:hAnsi="Calibri" w:eastAsia="Calibri" w:cs="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338F4092"/>
    <w:multiLevelType w:val="multilevel"/>
    <w:tmpl w:val="338F409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7EF506F"/>
    <w:multiLevelType w:val="hybridMultilevel"/>
    <w:tmpl w:val="F73A2F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10" w15:restartNumberingAfterBreak="0">
    <w:nsid w:val="555C6A5F"/>
    <w:multiLevelType w:val="multilevel"/>
    <w:tmpl w:val="555C6A5F"/>
    <w:lvl w:ilvl="0">
      <w:start w:val="1"/>
      <w:numFmt w:val="bullet"/>
      <w:lvlText w:val=""/>
      <w:lvlJc w:val="left"/>
      <w:pPr>
        <w:ind w:left="420" w:hanging="420"/>
      </w:pPr>
      <w:rPr>
        <w:rFonts w:hint="default" w:ascii="Symbol" w:hAnsi="Symbol"/>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1" w15:restartNumberingAfterBreak="0">
    <w:nsid w:val="67F278DB"/>
    <w:multiLevelType w:val="hybridMultilevel"/>
    <w:tmpl w:val="5A3E5490"/>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2" w15:restartNumberingAfterBreak="0">
    <w:nsid w:val="6F7F2E9F"/>
    <w:multiLevelType w:val="hybridMultilevel"/>
    <w:tmpl w:val="9202C8B2"/>
    <w:lvl w:ilvl="0" w:tplc="0AD62794">
      <w:start w:val="1"/>
      <w:numFmt w:val="bullet"/>
      <w:lvlText w:val="-"/>
      <w:lvlJc w:val="left"/>
      <w:pPr>
        <w:ind w:left="720" w:hanging="360"/>
      </w:pPr>
      <w:rPr>
        <w:rFonts w:hint="default" w:ascii="Calibri" w:hAnsi="Calibri"/>
      </w:rPr>
    </w:lvl>
    <w:lvl w:ilvl="1" w:tplc="B3E854F8">
      <w:start w:val="1"/>
      <w:numFmt w:val="bullet"/>
      <w:lvlText w:val="o"/>
      <w:lvlJc w:val="left"/>
      <w:pPr>
        <w:ind w:left="1440" w:hanging="360"/>
      </w:pPr>
      <w:rPr>
        <w:rFonts w:hint="default" w:ascii="Courier New" w:hAnsi="Courier New"/>
      </w:rPr>
    </w:lvl>
    <w:lvl w:ilvl="2" w:tplc="33E2B004">
      <w:start w:val="1"/>
      <w:numFmt w:val="bullet"/>
      <w:lvlText w:val=""/>
      <w:lvlJc w:val="left"/>
      <w:pPr>
        <w:ind w:left="2160" w:hanging="360"/>
      </w:pPr>
      <w:rPr>
        <w:rFonts w:hint="default" w:ascii="Wingdings" w:hAnsi="Wingdings"/>
      </w:rPr>
    </w:lvl>
    <w:lvl w:ilvl="3" w:tplc="0BB0B95E">
      <w:start w:val="1"/>
      <w:numFmt w:val="bullet"/>
      <w:lvlText w:val=""/>
      <w:lvlJc w:val="left"/>
      <w:pPr>
        <w:ind w:left="2880" w:hanging="360"/>
      </w:pPr>
      <w:rPr>
        <w:rFonts w:hint="default" w:ascii="Symbol" w:hAnsi="Symbol"/>
      </w:rPr>
    </w:lvl>
    <w:lvl w:ilvl="4" w:tplc="054C7562">
      <w:start w:val="1"/>
      <w:numFmt w:val="bullet"/>
      <w:lvlText w:val="o"/>
      <w:lvlJc w:val="left"/>
      <w:pPr>
        <w:ind w:left="3600" w:hanging="360"/>
      </w:pPr>
      <w:rPr>
        <w:rFonts w:hint="default" w:ascii="Courier New" w:hAnsi="Courier New"/>
      </w:rPr>
    </w:lvl>
    <w:lvl w:ilvl="5" w:tplc="BB147B10">
      <w:start w:val="1"/>
      <w:numFmt w:val="bullet"/>
      <w:lvlText w:val=""/>
      <w:lvlJc w:val="left"/>
      <w:pPr>
        <w:ind w:left="4320" w:hanging="360"/>
      </w:pPr>
      <w:rPr>
        <w:rFonts w:hint="default" w:ascii="Wingdings" w:hAnsi="Wingdings"/>
      </w:rPr>
    </w:lvl>
    <w:lvl w:ilvl="6" w:tplc="AB080144">
      <w:start w:val="1"/>
      <w:numFmt w:val="bullet"/>
      <w:lvlText w:val=""/>
      <w:lvlJc w:val="left"/>
      <w:pPr>
        <w:ind w:left="5040" w:hanging="360"/>
      </w:pPr>
      <w:rPr>
        <w:rFonts w:hint="default" w:ascii="Symbol" w:hAnsi="Symbol"/>
      </w:rPr>
    </w:lvl>
    <w:lvl w:ilvl="7" w:tplc="CAAE210E">
      <w:start w:val="1"/>
      <w:numFmt w:val="bullet"/>
      <w:lvlText w:val="o"/>
      <w:lvlJc w:val="left"/>
      <w:pPr>
        <w:ind w:left="5760" w:hanging="360"/>
      </w:pPr>
      <w:rPr>
        <w:rFonts w:hint="default" w:ascii="Courier New" w:hAnsi="Courier New"/>
      </w:rPr>
    </w:lvl>
    <w:lvl w:ilvl="8" w:tplc="961427F8">
      <w:start w:val="1"/>
      <w:numFmt w:val="bullet"/>
      <w:lvlText w:val=""/>
      <w:lvlJc w:val="left"/>
      <w:pPr>
        <w:ind w:left="6480" w:hanging="360"/>
      </w:pPr>
      <w:rPr>
        <w:rFonts w:hint="default" w:ascii="Wingdings" w:hAnsi="Wingdings"/>
      </w:rPr>
    </w:lvl>
  </w:abstractNum>
  <w:abstractNum w:abstractNumId="13" w15:restartNumberingAfterBreak="0">
    <w:nsid w:val="74AD5EA3"/>
    <w:multiLevelType w:val="hybridMultilevel"/>
    <w:tmpl w:val="B32E6B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75A9226F"/>
    <w:multiLevelType w:val="multilevel"/>
    <w:tmpl w:val="75A9226F"/>
    <w:lvl w:ilvl="0">
      <w:start w:val="1"/>
      <w:numFmt w:val="bullet"/>
      <w:lvlText w:val="−"/>
      <w:lvlJc w:val="left"/>
      <w:pPr>
        <w:ind w:left="720" w:hanging="360"/>
      </w:pPr>
      <w:rPr>
        <w:rFonts w:hint="eastAsia" w:ascii="Microsoft YaHei" w:hAnsi="Microsoft YaHei" w:eastAsia="Microsoft YaHei"/>
        <w:lang w:val="en-GB"/>
      </w:rPr>
    </w:lvl>
    <w:lvl w:ilvl="1">
      <w:start w:val="1"/>
      <w:numFmt w:val="bullet"/>
      <w:lvlText w:val="−"/>
      <w:lvlJc w:val="left"/>
      <w:pPr>
        <w:ind w:left="1440" w:hanging="360"/>
      </w:pPr>
      <w:rPr>
        <w:rFonts w:hint="eastAsia" w:ascii="Microsoft YaHei" w:hAnsi="Microsoft YaHei" w:eastAsia="Microsoft YaHei"/>
        <w:lang w:val="en-GB"/>
      </w:rPr>
    </w:lvl>
    <w:lvl w:ilvl="2">
      <w:start w:val="1"/>
      <w:numFmt w:val="bullet"/>
      <w:lvlText w:val=""/>
      <w:lvlJc w:val="left"/>
      <w:pPr>
        <w:ind w:left="2160" w:hanging="180"/>
      </w:pPr>
      <w:rPr>
        <w:rFonts w:hint="default" w:ascii="Symbol" w:hAnsi="Symbol"/>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B8E3F09"/>
    <w:multiLevelType w:val="hybridMultilevel"/>
    <w:tmpl w:val="10E688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FD2711E"/>
    <w:multiLevelType w:val="hybridMultilevel"/>
    <w:tmpl w:val="A4BC657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num w:numId="1">
    <w:abstractNumId w:val="12"/>
  </w:num>
  <w:num w:numId="2">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3">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4">
    <w:abstractNumId w:val="1"/>
  </w:num>
  <w:num w:numId="5">
    <w:abstractNumId w:val="6"/>
  </w:num>
  <w:num w:numId="6">
    <w:abstractNumId w:val="4"/>
  </w:num>
  <w:num w:numId="7">
    <w:abstractNumId w:val="8"/>
  </w:num>
  <w:num w:numId="8">
    <w:abstractNumId w:val="9"/>
  </w:num>
  <w:num w:numId="9">
    <w:abstractNumId w:val="10"/>
  </w:num>
  <w:num w:numId="10">
    <w:abstractNumId w:val="14"/>
  </w:num>
  <w:num w:numId="11">
    <w:abstractNumId w:val="16"/>
  </w:num>
  <w:num w:numId="12">
    <w:abstractNumId w:val="11"/>
  </w:num>
  <w:num w:numId="13">
    <w:abstractNumId w:val="3"/>
  </w:num>
  <w:num w:numId="14">
    <w:abstractNumId w:val="5"/>
  </w:num>
  <w:num w:numId="15">
    <w:abstractNumId w:val="2"/>
  </w:num>
  <w:num w:numId="16">
    <w:abstractNumId w:val="13"/>
  </w:num>
  <w:num w:numId="17">
    <w:abstractNumId w:val="15"/>
  </w:num>
  <w:num w:numId="18">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2D0"/>
    <w:rsid w:val="00016557"/>
    <w:rsid w:val="00023C40"/>
    <w:rsid w:val="00033397"/>
    <w:rsid w:val="00040095"/>
    <w:rsid w:val="0004438E"/>
    <w:rsid w:val="00044E6A"/>
    <w:rsid w:val="00052DBC"/>
    <w:rsid w:val="00073C9C"/>
    <w:rsid w:val="00080512"/>
    <w:rsid w:val="00080F31"/>
    <w:rsid w:val="00090468"/>
    <w:rsid w:val="00094568"/>
    <w:rsid w:val="000A706E"/>
    <w:rsid w:val="000B56AA"/>
    <w:rsid w:val="000B7BCF"/>
    <w:rsid w:val="000C522B"/>
    <w:rsid w:val="000D58AB"/>
    <w:rsid w:val="00112F1A"/>
    <w:rsid w:val="00114B85"/>
    <w:rsid w:val="00123BA0"/>
    <w:rsid w:val="001258C4"/>
    <w:rsid w:val="00145075"/>
    <w:rsid w:val="001741A0"/>
    <w:rsid w:val="00175FA0"/>
    <w:rsid w:val="001850CA"/>
    <w:rsid w:val="00192CEB"/>
    <w:rsid w:val="00194CD0"/>
    <w:rsid w:val="001B42CE"/>
    <w:rsid w:val="001B49C9"/>
    <w:rsid w:val="001B595B"/>
    <w:rsid w:val="001C23F4"/>
    <w:rsid w:val="001C4F79"/>
    <w:rsid w:val="001D075F"/>
    <w:rsid w:val="001D5F5E"/>
    <w:rsid w:val="001E1490"/>
    <w:rsid w:val="001E4958"/>
    <w:rsid w:val="001E62B0"/>
    <w:rsid w:val="001F168B"/>
    <w:rsid w:val="001F1EB9"/>
    <w:rsid w:val="001F7831"/>
    <w:rsid w:val="00204045"/>
    <w:rsid w:val="0020712B"/>
    <w:rsid w:val="00221D1F"/>
    <w:rsid w:val="0022606D"/>
    <w:rsid w:val="0023084D"/>
    <w:rsid w:val="00231728"/>
    <w:rsid w:val="00244A05"/>
    <w:rsid w:val="00250404"/>
    <w:rsid w:val="002524A6"/>
    <w:rsid w:val="002610D8"/>
    <w:rsid w:val="00263A64"/>
    <w:rsid w:val="00266490"/>
    <w:rsid w:val="002747EC"/>
    <w:rsid w:val="002855BF"/>
    <w:rsid w:val="002A1B01"/>
    <w:rsid w:val="002D1071"/>
    <w:rsid w:val="002E0372"/>
    <w:rsid w:val="002F0ABD"/>
    <w:rsid w:val="002F0D22"/>
    <w:rsid w:val="002F6714"/>
    <w:rsid w:val="00301314"/>
    <w:rsid w:val="003035E7"/>
    <w:rsid w:val="003038FF"/>
    <w:rsid w:val="00306FB1"/>
    <w:rsid w:val="00310A8D"/>
    <w:rsid w:val="00311B17"/>
    <w:rsid w:val="00313ABD"/>
    <w:rsid w:val="003172DC"/>
    <w:rsid w:val="00325AE3"/>
    <w:rsid w:val="00326069"/>
    <w:rsid w:val="00352886"/>
    <w:rsid w:val="0035462D"/>
    <w:rsid w:val="00355173"/>
    <w:rsid w:val="0036459E"/>
    <w:rsid w:val="00364B41"/>
    <w:rsid w:val="00383096"/>
    <w:rsid w:val="003877BA"/>
    <w:rsid w:val="0039346C"/>
    <w:rsid w:val="003956C7"/>
    <w:rsid w:val="003A0617"/>
    <w:rsid w:val="003A41EF"/>
    <w:rsid w:val="003B40AD"/>
    <w:rsid w:val="003C4E37"/>
    <w:rsid w:val="003D61E9"/>
    <w:rsid w:val="003E16BE"/>
    <w:rsid w:val="003E6CA8"/>
    <w:rsid w:val="003F4E28"/>
    <w:rsid w:val="004006E8"/>
    <w:rsid w:val="00401855"/>
    <w:rsid w:val="00406942"/>
    <w:rsid w:val="004076A2"/>
    <w:rsid w:val="004118E6"/>
    <w:rsid w:val="004146C1"/>
    <w:rsid w:val="00414C5C"/>
    <w:rsid w:val="00417008"/>
    <w:rsid w:val="004301DA"/>
    <w:rsid w:val="00433289"/>
    <w:rsid w:val="00452F07"/>
    <w:rsid w:val="00465587"/>
    <w:rsid w:val="00477455"/>
    <w:rsid w:val="004A1F7B"/>
    <w:rsid w:val="004A3011"/>
    <w:rsid w:val="004A7C0D"/>
    <w:rsid w:val="004C44D2"/>
    <w:rsid w:val="004D3578"/>
    <w:rsid w:val="004D380D"/>
    <w:rsid w:val="004E213A"/>
    <w:rsid w:val="004F4540"/>
    <w:rsid w:val="004F454D"/>
    <w:rsid w:val="004F73A7"/>
    <w:rsid w:val="00503171"/>
    <w:rsid w:val="00506C28"/>
    <w:rsid w:val="00533AC3"/>
    <w:rsid w:val="00534DA0"/>
    <w:rsid w:val="00541C24"/>
    <w:rsid w:val="00543E6C"/>
    <w:rsid w:val="00565087"/>
    <w:rsid w:val="0056573F"/>
    <w:rsid w:val="00567837"/>
    <w:rsid w:val="00571279"/>
    <w:rsid w:val="00574CB5"/>
    <w:rsid w:val="005760DC"/>
    <w:rsid w:val="00595DA7"/>
    <w:rsid w:val="005A49C6"/>
    <w:rsid w:val="005A61DB"/>
    <w:rsid w:val="005C6B12"/>
    <w:rsid w:val="005D0439"/>
    <w:rsid w:val="005D3188"/>
    <w:rsid w:val="005F4FE1"/>
    <w:rsid w:val="00610622"/>
    <w:rsid w:val="00611566"/>
    <w:rsid w:val="00611E54"/>
    <w:rsid w:val="00626C7C"/>
    <w:rsid w:val="006341FC"/>
    <w:rsid w:val="006435C6"/>
    <w:rsid w:val="00646D99"/>
    <w:rsid w:val="00650AE5"/>
    <w:rsid w:val="00654359"/>
    <w:rsid w:val="00656910"/>
    <w:rsid w:val="006574C0"/>
    <w:rsid w:val="00695308"/>
    <w:rsid w:val="00696821"/>
    <w:rsid w:val="006C66D8"/>
    <w:rsid w:val="006D1973"/>
    <w:rsid w:val="006D1E24"/>
    <w:rsid w:val="006D35DE"/>
    <w:rsid w:val="006E1057"/>
    <w:rsid w:val="006E1417"/>
    <w:rsid w:val="006F0BDF"/>
    <w:rsid w:val="006F4034"/>
    <w:rsid w:val="006F6A2C"/>
    <w:rsid w:val="007069DC"/>
    <w:rsid w:val="00710201"/>
    <w:rsid w:val="00715FA7"/>
    <w:rsid w:val="00717826"/>
    <w:rsid w:val="0072073A"/>
    <w:rsid w:val="007342B5"/>
    <w:rsid w:val="00734A5B"/>
    <w:rsid w:val="00744E76"/>
    <w:rsid w:val="007464A5"/>
    <w:rsid w:val="0075200F"/>
    <w:rsid w:val="007569C2"/>
    <w:rsid w:val="00757D40"/>
    <w:rsid w:val="007662B5"/>
    <w:rsid w:val="00781199"/>
    <w:rsid w:val="00781F0F"/>
    <w:rsid w:val="00786E30"/>
    <w:rsid w:val="0078727C"/>
    <w:rsid w:val="0079049D"/>
    <w:rsid w:val="00793DC5"/>
    <w:rsid w:val="00796823"/>
    <w:rsid w:val="007974FA"/>
    <w:rsid w:val="007A2E55"/>
    <w:rsid w:val="007B18D8"/>
    <w:rsid w:val="007C095F"/>
    <w:rsid w:val="007C0ABE"/>
    <w:rsid w:val="007C2DD0"/>
    <w:rsid w:val="007E428E"/>
    <w:rsid w:val="007F0DAD"/>
    <w:rsid w:val="007F2E08"/>
    <w:rsid w:val="008028A4"/>
    <w:rsid w:val="00802D13"/>
    <w:rsid w:val="00813245"/>
    <w:rsid w:val="00813522"/>
    <w:rsid w:val="00822352"/>
    <w:rsid w:val="00840DE0"/>
    <w:rsid w:val="0085280F"/>
    <w:rsid w:val="008549EC"/>
    <w:rsid w:val="008607A8"/>
    <w:rsid w:val="008622C2"/>
    <w:rsid w:val="00862FE6"/>
    <w:rsid w:val="0086354A"/>
    <w:rsid w:val="00864800"/>
    <w:rsid w:val="00871534"/>
    <w:rsid w:val="008767FB"/>
    <w:rsid w:val="008768CA"/>
    <w:rsid w:val="00877EF9"/>
    <w:rsid w:val="00880559"/>
    <w:rsid w:val="00894069"/>
    <w:rsid w:val="008B5306"/>
    <w:rsid w:val="008C2E2A"/>
    <w:rsid w:val="008C3057"/>
    <w:rsid w:val="008D2E4D"/>
    <w:rsid w:val="008F396F"/>
    <w:rsid w:val="008F3DCD"/>
    <w:rsid w:val="008F45CE"/>
    <w:rsid w:val="0090271F"/>
    <w:rsid w:val="00902DB9"/>
    <w:rsid w:val="0090466A"/>
    <w:rsid w:val="00923655"/>
    <w:rsid w:val="00926EC4"/>
    <w:rsid w:val="00936071"/>
    <w:rsid w:val="009376CD"/>
    <w:rsid w:val="00940212"/>
    <w:rsid w:val="00942159"/>
    <w:rsid w:val="00942EC2"/>
    <w:rsid w:val="00957806"/>
    <w:rsid w:val="00961B32"/>
    <w:rsid w:val="00962509"/>
    <w:rsid w:val="00970DB3"/>
    <w:rsid w:val="00974BB0"/>
    <w:rsid w:val="0097598A"/>
    <w:rsid w:val="00975BCD"/>
    <w:rsid w:val="00991AA9"/>
    <w:rsid w:val="009928A9"/>
    <w:rsid w:val="009A0AF3"/>
    <w:rsid w:val="009A233F"/>
    <w:rsid w:val="009B04F7"/>
    <w:rsid w:val="009B07CD"/>
    <w:rsid w:val="009C19E9"/>
    <w:rsid w:val="009D12B5"/>
    <w:rsid w:val="009D74A6"/>
    <w:rsid w:val="009E0E87"/>
    <w:rsid w:val="009E7E90"/>
    <w:rsid w:val="009F6476"/>
    <w:rsid w:val="00A06D5D"/>
    <w:rsid w:val="00A10F02"/>
    <w:rsid w:val="00A10FB3"/>
    <w:rsid w:val="00A204CA"/>
    <w:rsid w:val="00A209D6"/>
    <w:rsid w:val="00A22738"/>
    <w:rsid w:val="00A330BC"/>
    <w:rsid w:val="00A34432"/>
    <w:rsid w:val="00A40725"/>
    <w:rsid w:val="00A430EC"/>
    <w:rsid w:val="00A516A3"/>
    <w:rsid w:val="00A53724"/>
    <w:rsid w:val="00A54B2B"/>
    <w:rsid w:val="00A80322"/>
    <w:rsid w:val="00A81DFA"/>
    <w:rsid w:val="00A82346"/>
    <w:rsid w:val="00A91002"/>
    <w:rsid w:val="00A9671C"/>
    <w:rsid w:val="00AA054B"/>
    <w:rsid w:val="00AA1553"/>
    <w:rsid w:val="00B05380"/>
    <w:rsid w:val="00B05962"/>
    <w:rsid w:val="00B14402"/>
    <w:rsid w:val="00B15449"/>
    <w:rsid w:val="00B16C2F"/>
    <w:rsid w:val="00B2103C"/>
    <w:rsid w:val="00B22C41"/>
    <w:rsid w:val="00B238E0"/>
    <w:rsid w:val="00B27303"/>
    <w:rsid w:val="00B4037C"/>
    <w:rsid w:val="00B47FD1"/>
    <w:rsid w:val="00B516BB"/>
    <w:rsid w:val="00B60207"/>
    <w:rsid w:val="00B7538C"/>
    <w:rsid w:val="00B84DB2"/>
    <w:rsid w:val="00B9395F"/>
    <w:rsid w:val="00BC3555"/>
    <w:rsid w:val="00BE0EA8"/>
    <w:rsid w:val="00BE7995"/>
    <w:rsid w:val="00BF093D"/>
    <w:rsid w:val="00C00BD2"/>
    <w:rsid w:val="00C12B51"/>
    <w:rsid w:val="00C13E4B"/>
    <w:rsid w:val="00C14909"/>
    <w:rsid w:val="00C23D56"/>
    <w:rsid w:val="00C2427D"/>
    <w:rsid w:val="00C24650"/>
    <w:rsid w:val="00C25465"/>
    <w:rsid w:val="00C33079"/>
    <w:rsid w:val="00C35779"/>
    <w:rsid w:val="00C44F72"/>
    <w:rsid w:val="00C45AAC"/>
    <w:rsid w:val="00C55A12"/>
    <w:rsid w:val="00C55E4D"/>
    <w:rsid w:val="00C5654B"/>
    <w:rsid w:val="00C6553E"/>
    <w:rsid w:val="00C70F6F"/>
    <w:rsid w:val="00C8252B"/>
    <w:rsid w:val="00C83A13"/>
    <w:rsid w:val="00C86F10"/>
    <w:rsid w:val="00C9068C"/>
    <w:rsid w:val="00C92967"/>
    <w:rsid w:val="00CA3D0C"/>
    <w:rsid w:val="00CA654B"/>
    <w:rsid w:val="00CB72B8"/>
    <w:rsid w:val="00CC19CF"/>
    <w:rsid w:val="00CD0BA8"/>
    <w:rsid w:val="00CD3709"/>
    <w:rsid w:val="00CD4C7B"/>
    <w:rsid w:val="00CD58FE"/>
    <w:rsid w:val="00CF3816"/>
    <w:rsid w:val="00CF67E7"/>
    <w:rsid w:val="00CF6AB5"/>
    <w:rsid w:val="00D07D31"/>
    <w:rsid w:val="00D07E01"/>
    <w:rsid w:val="00D25B05"/>
    <w:rsid w:val="00D26BBE"/>
    <w:rsid w:val="00D33BE3"/>
    <w:rsid w:val="00D3792D"/>
    <w:rsid w:val="00D55E47"/>
    <w:rsid w:val="00D62E19"/>
    <w:rsid w:val="00D67CD1"/>
    <w:rsid w:val="00D738D6"/>
    <w:rsid w:val="00D77600"/>
    <w:rsid w:val="00D80795"/>
    <w:rsid w:val="00D854BE"/>
    <w:rsid w:val="00D87E00"/>
    <w:rsid w:val="00D9134D"/>
    <w:rsid w:val="00D96D11"/>
    <w:rsid w:val="00DA7A03"/>
    <w:rsid w:val="00DB0DB8"/>
    <w:rsid w:val="00DB1818"/>
    <w:rsid w:val="00DC21C0"/>
    <w:rsid w:val="00DC309B"/>
    <w:rsid w:val="00DC4DA2"/>
    <w:rsid w:val="00DC5261"/>
    <w:rsid w:val="00DD4FD1"/>
    <w:rsid w:val="00DE25D2"/>
    <w:rsid w:val="00E003C0"/>
    <w:rsid w:val="00E01586"/>
    <w:rsid w:val="00E27D9E"/>
    <w:rsid w:val="00E4215C"/>
    <w:rsid w:val="00E42660"/>
    <w:rsid w:val="00E46C08"/>
    <w:rsid w:val="00E46C32"/>
    <w:rsid w:val="00E471CF"/>
    <w:rsid w:val="00E62835"/>
    <w:rsid w:val="00E77645"/>
    <w:rsid w:val="00E83697"/>
    <w:rsid w:val="00E859B6"/>
    <w:rsid w:val="00EA66C9"/>
    <w:rsid w:val="00EC2FF0"/>
    <w:rsid w:val="00EC4A25"/>
    <w:rsid w:val="00EC5C84"/>
    <w:rsid w:val="00EE111C"/>
    <w:rsid w:val="00EE513F"/>
    <w:rsid w:val="00EF4AA3"/>
    <w:rsid w:val="00EF612C"/>
    <w:rsid w:val="00F025A2"/>
    <w:rsid w:val="00F036E9"/>
    <w:rsid w:val="00F0430A"/>
    <w:rsid w:val="00F07388"/>
    <w:rsid w:val="00F13527"/>
    <w:rsid w:val="00F2026E"/>
    <w:rsid w:val="00F2210A"/>
    <w:rsid w:val="00F224CA"/>
    <w:rsid w:val="00F24A33"/>
    <w:rsid w:val="00F31372"/>
    <w:rsid w:val="00F35B2D"/>
    <w:rsid w:val="00F37743"/>
    <w:rsid w:val="00F40638"/>
    <w:rsid w:val="00F4069B"/>
    <w:rsid w:val="00F410FD"/>
    <w:rsid w:val="00F516D8"/>
    <w:rsid w:val="00F51C05"/>
    <w:rsid w:val="00F54A3D"/>
    <w:rsid w:val="00F54CB0"/>
    <w:rsid w:val="00F579CD"/>
    <w:rsid w:val="00F629CD"/>
    <w:rsid w:val="00F653B8"/>
    <w:rsid w:val="00F71B89"/>
    <w:rsid w:val="00F7353C"/>
    <w:rsid w:val="00F76F8F"/>
    <w:rsid w:val="00F812E8"/>
    <w:rsid w:val="00F941DF"/>
    <w:rsid w:val="00FA1266"/>
    <w:rsid w:val="00FB36FA"/>
    <w:rsid w:val="00FC1192"/>
    <w:rsid w:val="00FC282C"/>
    <w:rsid w:val="00FD0E89"/>
    <w:rsid w:val="00FD6690"/>
    <w:rsid w:val="00FD683F"/>
    <w:rsid w:val="00FE07DC"/>
    <w:rsid w:val="00FE106D"/>
    <w:rsid w:val="00FE251B"/>
    <w:rsid w:val="03CC2288"/>
    <w:rsid w:val="03CECFE1"/>
    <w:rsid w:val="056C8D7D"/>
    <w:rsid w:val="0D3EB388"/>
    <w:rsid w:val="102C9B11"/>
    <w:rsid w:val="1469094D"/>
    <w:rsid w:val="1604D9AE"/>
    <w:rsid w:val="175211CF"/>
    <w:rsid w:val="196A4F8A"/>
    <w:rsid w:val="1CF018FE"/>
    <w:rsid w:val="208153CF"/>
    <w:rsid w:val="210A588D"/>
    <w:rsid w:val="225C3BF7"/>
    <w:rsid w:val="237DA460"/>
    <w:rsid w:val="27E3CB5B"/>
    <w:rsid w:val="288A75EB"/>
    <w:rsid w:val="2E9FE28D"/>
    <w:rsid w:val="30ADC4C9"/>
    <w:rsid w:val="34082666"/>
    <w:rsid w:val="3A1E16CE"/>
    <w:rsid w:val="3C0A7155"/>
    <w:rsid w:val="3C8A6292"/>
    <w:rsid w:val="3D503581"/>
    <w:rsid w:val="3F5838D7"/>
    <w:rsid w:val="427B6C01"/>
    <w:rsid w:val="453FD5F1"/>
    <w:rsid w:val="45EFD0E5"/>
    <w:rsid w:val="46181C7B"/>
    <w:rsid w:val="463D84CB"/>
    <w:rsid w:val="479E0DF4"/>
    <w:rsid w:val="48BB3EB2"/>
    <w:rsid w:val="49EADD19"/>
    <w:rsid w:val="4DE1BA6D"/>
    <w:rsid w:val="53B2B5E2"/>
    <w:rsid w:val="555DE741"/>
    <w:rsid w:val="58419741"/>
    <w:rsid w:val="5889B728"/>
    <w:rsid w:val="5A99AD53"/>
    <w:rsid w:val="5B2E29F0"/>
    <w:rsid w:val="5D781C5F"/>
    <w:rsid w:val="623FF1A6"/>
    <w:rsid w:val="6459B7F6"/>
    <w:rsid w:val="6491D3C9"/>
    <w:rsid w:val="66BCCC1B"/>
    <w:rsid w:val="66F03BB6"/>
    <w:rsid w:val="67642F33"/>
    <w:rsid w:val="68A6880A"/>
    <w:rsid w:val="6A2699BB"/>
    <w:rsid w:val="6BC26A1C"/>
    <w:rsid w:val="6D95F180"/>
    <w:rsid w:val="6E8E653C"/>
    <w:rsid w:val="6EE15BF0"/>
    <w:rsid w:val="6F09B27A"/>
    <w:rsid w:val="6F7F0DA9"/>
    <w:rsid w:val="71915848"/>
    <w:rsid w:val="71DA9CA6"/>
    <w:rsid w:val="72321CB5"/>
    <w:rsid w:val="776C104D"/>
    <w:rsid w:val="783E4F19"/>
    <w:rsid w:val="795C5325"/>
    <w:rsid w:val="7BF758BB"/>
    <w:rsid w:val="7D6ADD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5B9B07C-4509-4B59-AF60-4A920CEF7A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A054B"/>
    <w:pPr>
      <w:ind w:left="720"/>
      <w:contextualSpacing/>
    </w:pPr>
  </w:style>
  <w:style w:type="character" w:styleId="ListParagraphChar" w:customStyle="1">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styleId="B2Char" w:customStyle="1">
    <w:name w:val="B2 Char"/>
    <w:link w:val="B2"/>
    <w:qFormat/>
    <w:rsid w:val="00D07D31"/>
    <w:rPr>
      <w:lang w:eastAsia="en-US"/>
    </w:rPr>
  </w:style>
  <w:style w:type="paragraph" w:styleId="Cat-b-Proposal" w:customStyle="1">
    <w:name w:val="Cat-b-Proposal"/>
    <w:basedOn w:val="Normal"/>
    <w:qFormat/>
    <w:rsid w:val="00D07D31"/>
    <w:pPr>
      <w:numPr>
        <w:numId w:val="15"/>
      </w:numPr>
      <w:tabs>
        <w:tab w:val="left" w:pos="1701"/>
      </w:tabs>
      <w:spacing w:after="0" w:line="259" w:lineRule="auto"/>
      <w:ind w:left="1588" w:hanging="1588"/>
    </w:pPr>
    <w:rPr>
      <w:rFonts w:asciiTheme="minorHAnsi" w:hAnsiTheme="minorHAnsi" w:eastAsiaTheme="minorEastAsia" w:cstheme="minorBidi"/>
      <w:b/>
      <w:bCs/>
      <w:sz w:val="24"/>
      <w:szCs w:val="24"/>
      <w:lang w:val="en-US" w:eastAsia="zh-CN"/>
    </w:rPr>
  </w:style>
  <w:style w:type="character" w:styleId="CommentReference">
    <w:name w:val="annotation reference"/>
    <w:basedOn w:val="DefaultParagraphFont"/>
    <w:rsid w:val="00611E54"/>
    <w:rPr>
      <w:sz w:val="16"/>
      <w:szCs w:val="16"/>
    </w:rPr>
  </w:style>
  <w:style w:type="paragraph" w:styleId="CommentText">
    <w:name w:val="annotation text"/>
    <w:basedOn w:val="Normal"/>
    <w:link w:val="CommentTextChar"/>
    <w:rsid w:val="00611E54"/>
  </w:style>
  <w:style w:type="character" w:styleId="CommentTextChar" w:customStyle="1">
    <w:name w:val="Comment Text Char"/>
    <w:basedOn w:val="DefaultParagraphFont"/>
    <w:link w:val="CommentText"/>
    <w:rsid w:val="00611E54"/>
    <w:rPr>
      <w:lang w:eastAsia="en-US"/>
    </w:rPr>
  </w:style>
  <w:style w:type="paragraph" w:styleId="CommentSubject">
    <w:name w:val="annotation subject"/>
    <w:basedOn w:val="CommentText"/>
    <w:next w:val="CommentText"/>
    <w:link w:val="CommentSubjectChar"/>
    <w:rsid w:val="00611E54"/>
    <w:rPr>
      <w:b/>
      <w:bCs/>
    </w:rPr>
  </w:style>
  <w:style w:type="character" w:styleId="CommentSubjectChar" w:customStyle="1">
    <w:name w:val="Comment Subject Char"/>
    <w:basedOn w:val="CommentTextChar"/>
    <w:link w:val="CommentSubject"/>
    <w:rsid w:val="00611E54"/>
    <w:rPr>
      <w:b/>
      <w:bCs/>
      <w:lang w:eastAsia="en-US"/>
    </w:rPr>
  </w:style>
  <w:style w:type="paragraph" w:styleId="NormalWeb">
    <w:name w:val="Normal (Web)"/>
    <w:basedOn w:val="Normal"/>
    <w:uiPriority w:val="99"/>
    <w:unhideWhenUsed/>
    <w:rsid w:val="00A8032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87340">
      <w:bodyDiv w:val="1"/>
      <w:marLeft w:val="0"/>
      <w:marRight w:val="0"/>
      <w:marTop w:val="0"/>
      <w:marBottom w:val="0"/>
      <w:divBdr>
        <w:top w:val="none" w:sz="0" w:space="0" w:color="auto"/>
        <w:left w:val="none" w:sz="0" w:space="0" w:color="auto"/>
        <w:bottom w:val="none" w:sz="0" w:space="0" w:color="auto"/>
        <w:right w:val="none" w:sz="0" w:space="0" w:color="auto"/>
      </w:divBdr>
    </w:div>
    <w:div w:id="52240678">
      <w:bodyDiv w:val="1"/>
      <w:marLeft w:val="0"/>
      <w:marRight w:val="0"/>
      <w:marTop w:val="0"/>
      <w:marBottom w:val="0"/>
      <w:divBdr>
        <w:top w:val="none" w:sz="0" w:space="0" w:color="auto"/>
        <w:left w:val="none" w:sz="0" w:space="0" w:color="auto"/>
        <w:bottom w:val="none" w:sz="0" w:space="0" w:color="auto"/>
        <w:right w:val="none" w:sz="0" w:space="0" w:color="auto"/>
      </w:divBdr>
    </w:div>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378364281">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0663308">
      <w:bodyDiv w:val="1"/>
      <w:marLeft w:val="0"/>
      <w:marRight w:val="0"/>
      <w:marTop w:val="0"/>
      <w:marBottom w:val="0"/>
      <w:divBdr>
        <w:top w:val="none" w:sz="0" w:space="0" w:color="auto"/>
        <w:left w:val="none" w:sz="0" w:space="0" w:color="auto"/>
        <w:bottom w:val="none" w:sz="0" w:space="0" w:color="auto"/>
        <w:right w:val="none" w:sz="0" w:space="0" w:color="auto"/>
      </w:divBdr>
    </w:div>
    <w:div w:id="1493527087">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51460874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5AIRPNAIUNRU-490051479-3316</_dlc_DocId>
    <_dlc_DocIdUrl xmlns="71c5aaf6-e6ce-465b-b873-5148d2a4c105">
      <Url>https://nokia.sharepoint.com/sites/c5g/projects/FAAS/_layouts/15/DocIdRedir.aspx?ID=5AIRPNAIUNRU-490051479-3316</Url>
      <Description>5AIRPNAIUNRU-490051479-3316</Description>
    </_dlc_DocIdUrl>
    <Document_x0020_category xmlns="3b34c8f0-1ef5-4d1e-bb66-517ce7fe7356" xsi:nil="true"/>
    <_Flow_SignoffStatus xmlns="bd98b143-97af-43fb-a8de-63b93b9440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ECE23E3-A734-428B-B622-634D126E35C6}"/>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Nokia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Benoist</dc:creator>
  <keywords/>
  <dc:description/>
  <lastModifiedBy>Tomala, Malgorzata (Nokia - PL/Wroclaw)</lastModifiedBy>
  <revision>12</revision>
  <dcterms:created xsi:type="dcterms:W3CDTF">2021-04-01T18:07:00.0000000Z</dcterms:created>
  <dcterms:modified xsi:type="dcterms:W3CDTF">2021-08-04T19:29:32.7872505Z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d92e3824-5bc7-48ca-9445-2430c67f87ac</vt:lpwstr>
  </property>
</Properties>
</file>